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CC" w:rsidRPr="004B6E11" w:rsidRDefault="004152AA" w:rsidP="004152AA">
      <w:pPr>
        <w:ind w:firstLine="1304"/>
        <w:rPr>
          <w:b/>
          <w:sz w:val="24"/>
          <w:szCs w:val="24"/>
        </w:rPr>
      </w:pPr>
      <w:r>
        <w:rPr>
          <w:b/>
        </w:rPr>
        <w:t xml:space="preserve">                 </w:t>
      </w:r>
      <w:r w:rsidR="007D1297" w:rsidRPr="004B6E11">
        <w:rPr>
          <w:b/>
          <w:sz w:val="24"/>
          <w:szCs w:val="24"/>
        </w:rPr>
        <w:t xml:space="preserve">Direkte </w:t>
      </w:r>
      <w:r w:rsidR="00AB3BDE" w:rsidRPr="004B6E11">
        <w:rPr>
          <w:b/>
          <w:sz w:val="24"/>
          <w:szCs w:val="24"/>
        </w:rPr>
        <w:t>sikkerhedsinformation</w:t>
      </w:r>
      <w:r w:rsidR="007D1297" w:rsidRPr="004B6E11">
        <w:rPr>
          <w:b/>
          <w:sz w:val="24"/>
          <w:szCs w:val="24"/>
        </w:rPr>
        <w:t xml:space="preserve"> til sundhedsprofessionelle</w:t>
      </w:r>
    </w:p>
    <w:p w:rsidR="00F678E8" w:rsidRDefault="00C03666" w:rsidP="001C5E5F">
      <w:pPr>
        <w:jc w:val="center"/>
        <w:rPr>
          <w:b/>
        </w:rPr>
      </w:pPr>
      <w:r w:rsidRPr="00C03666">
        <w:rPr>
          <w:rFonts w:cs="Times New Roman"/>
          <w:b/>
          <w:kern w:val="32"/>
          <w:szCs w:val="24"/>
        </w:rPr>
        <w:t>Hormonelle kontraceptiva af kombinationstypen</w:t>
      </w:r>
      <w:r w:rsidR="00253B08">
        <w:rPr>
          <w:b/>
        </w:rPr>
        <w:t>: Vær opmærksom på</w:t>
      </w:r>
      <w:r w:rsidR="00726265">
        <w:rPr>
          <w:b/>
        </w:rPr>
        <w:t xml:space="preserve">, at der er forskel i risiko for </w:t>
      </w:r>
      <w:r w:rsidR="00892802">
        <w:rPr>
          <w:b/>
        </w:rPr>
        <w:t xml:space="preserve">venøs tromboemboli </w:t>
      </w:r>
      <w:r w:rsidR="00726265">
        <w:rPr>
          <w:b/>
        </w:rPr>
        <w:t>mellem de forskellige præparater</w:t>
      </w:r>
      <w:r w:rsidR="00365F8B">
        <w:rPr>
          <w:b/>
        </w:rPr>
        <w:t>,</w:t>
      </w:r>
      <w:r w:rsidR="00726265">
        <w:rPr>
          <w:b/>
        </w:rPr>
        <w:t xml:space="preserve"> </w:t>
      </w:r>
      <w:r w:rsidR="00365F8B">
        <w:rPr>
          <w:b/>
        </w:rPr>
        <w:t xml:space="preserve">og </w:t>
      </w:r>
      <w:r w:rsidR="004342F7">
        <w:rPr>
          <w:b/>
        </w:rPr>
        <w:t>på</w:t>
      </w:r>
      <w:r w:rsidR="008A3980">
        <w:rPr>
          <w:b/>
        </w:rPr>
        <w:t xml:space="preserve"> </w:t>
      </w:r>
      <w:r w:rsidR="006E2153">
        <w:rPr>
          <w:b/>
        </w:rPr>
        <w:t xml:space="preserve">betydningen af </w:t>
      </w:r>
      <w:r w:rsidR="00A3067B">
        <w:rPr>
          <w:b/>
        </w:rPr>
        <w:t>de</w:t>
      </w:r>
      <w:r w:rsidR="006E2153">
        <w:rPr>
          <w:b/>
        </w:rPr>
        <w:t xml:space="preserve"> enkelte kvinders</w:t>
      </w:r>
      <w:r w:rsidR="00BA6DE2">
        <w:rPr>
          <w:b/>
        </w:rPr>
        <w:t xml:space="preserve"> </w:t>
      </w:r>
      <w:r w:rsidR="008A3980" w:rsidRPr="008A3980">
        <w:rPr>
          <w:b/>
        </w:rPr>
        <w:t>i</w:t>
      </w:r>
      <w:r w:rsidR="00A3067B">
        <w:rPr>
          <w:b/>
        </w:rPr>
        <w:t>ndividuelle risikofaktore</w:t>
      </w:r>
      <w:r w:rsidR="005066BC">
        <w:rPr>
          <w:b/>
        </w:rPr>
        <w:t>r</w:t>
      </w:r>
      <w:r w:rsidR="00F678E8" w:rsidRPr="008A3980">
        <w:rPr>
          <w:b/>
        </w:rPr>
        <w:t xml:space="preserve"> og </w:t>
      </w:r>
      <w:r w:rsidR="005066BC">
        <w:rPr>
          <w:b/>
        </w:rPr>
        <w:t xml:space="preserve">vær fortsat opmærksom på </w:t>
      </w:r>
      <w:r w:rsidR="007E2A24">
        <w:rPr>
          <w:b/>
        </w:rPr>
        <w:t>tegn</w:t>
      </w:r>
      <w:r w:rsidR="009B2346">
        <w:rPr>
          <w:b/>
        </w:rPr>
        <w:t xml:space="preserve"> </w:t>
      </w:r>
      <w:r w:rsidR="00501D10">
        <w:rPr>
          <w:b/>
        </w:rPr>
        <w:t>og</w:t>
      </w:r>
      <w:r w:rsidR="009B2346">
        <w:rPr>
          <w:b/>
        </w:rPr>
        <w:t xml:space="preserve"> symptomer</w:t>
      </w:r>
    </w:p>
    <w:p w:rsidR="000736E8" w:rsidRDefault="000736E8"/>
    <w:p w:rsidR="00F678E8" w:rsidRDefault="00F678E8">
      <w:r>
        <w:t xml:space="preserve">Kære </w:t>
      </w:r>
      <w:r w:rsidR="00E00F7A">
        <w:t>læger og sundhedspersonale</w:t>
      </w:r>
    </w:p>
    <w:p w:rsidR="00334A7A" w:rsidRPr="00606B27" w:rsidRDefault="008A3980">
      <w:r w:rsidRPr="00606B27">
        <w:t>D</w:t>
      </w:r>
      <w:r w:rsidR="00F678E8" w:rsidRPr="00606B27">
        <w:t xml:space="preserve">ette brev </w:t>
      </w:r>
      <w:r w:rsidR="00A569C1" w:rsidRPr="00606B27">
        <w:t>fremsendes</w:t>
      </w:r>
      <w:r w:rsidRPr="00606B27">
        <w:t xml:space="preserve"> for </w:t>
      </w:r>
      <w:r w:rsidR="00D979ED" w:rsidRPr="00606B27">
        <w:t xml:space="preserve">at </w:t>
      </w:r>
      <w:r w:rsidR="00F678E8" w:rsidRPr="00606B27">
        <w:t xml:space="preserve">informere om resultaterne </w:t>
      </w:r>
      <w:r w:rsidR="00AA35E2" w:rsidRPr="00606B27">
        <w:t>af</w:t>
      </w:r>
      <w:r w:rsidR="00955881" w:rsidRPr="00606B27">
        <w:t xml:space="preserve"> en </w:t>
      </w:r>
      <w:r w:rsidR="00E00F7A" w:rsidRPr="00606B27">
        <w:t>europæisk revurdering</w:t>
      </w:r>
      <w:r w:rsidR="00955881" w:rsidRPr="00606B27">
        <w:t xml:space="preserve"> </w:t>
      </w:r>
      <w:r w:rsidR="00C03666" w:rsidRPr="00606B27">
        <w:t xml:space="preserve">og </w:t>
      </w:r>
      <w:r w:rsidR="00955881" w:rsidRPr="00606B27">
        <w:t xml:space="preserve">den </w:t>
      </w:r>
      <w:r w:rsidR="008E7710" w:rsidRPr="00606B27">
        <w:t>seneste</w:t>
      </w:r>
      <w:r w:rsidR="0056418A" w:rsidRPr="00606B27">
        <w:t xml:space="preserve"> </w:t>
      </w:r>
      <w:r w:rsidR="00A569C1" w:rsidRPr="00606B27">
        <w:t xml:space="preserve">evidens </w:t>
      </w:r>
      <w:r w:rsidR="00C03666" w:rsidRPr="00606B27">
        <w:t>vedrørende</w:t>
      </w:r>
      <w:r w:rsidR="00D979ED" w:rsidRPr="00606B27">
        <w:t xml:space="preserve"> </w:t>
      </w:r>
      <w:r w:rsidR="00FB2C2D" w:rsidRPr="00606B27">
        <w:t xml:space="preserve">risiko for </w:t>
      </w:r>
      <w:r w:rsidR="004D06D6" w:rsidRPr="00606B27">
        <w:t>tromboemboli</w:t>
      </w:r>
      <w:r w:rsidR="00BC19FB" w:rsidRPr="00606B27">
        <w:t xml:space="preserve"> </w:t>
      </w:r>
      <w:r w:rsidR="00C06D20" w:rsidRPr="00606B27">
        <w:t xml:space="preserve">ved </w:t>
      </w:r>
      <w:r w:rsidR="00D979ED" w:rsidRPr="00606B27">
        <w:t xml:space="preserve">visse </w:t>
      </w:r>
      <w:r w:rsidR="00C03666" w:rsidRPr="00606B27">
        <w:rPr>
          <w:rFonts w:cs="Times New Roman"/>
          <w:kern w:val="32"/>
        </w:rPr>
        <w:t>hormonelle kontraceptiva af kombinationstypen</w:t>
      </w:r>
      <w:r w:rsidR="00C03666" w:rsidRPr="00606B27">
        <w:rPr>
          <w:rStyle w:val="Fodnotehenvisning"/>
          <w:bCs/>
        </w:rPr>
        <w:t xml:space="preserve"> </w:t>
      </w:r>
      <w:r w:rsidR="00BC532B" w:rsidRPr="00606B27">
        <w:rPr>
          <w:rStyle w:val="Fodnotehenvisning"/>
          <w:bCs/>
        </w:rPr>
        <w:footnoteReference w:id="1"/>
      </w:r>
      <w:r w:rsidR="00D979ED" w:rsidRPr="00606B27">
        <w:t xml:space="preserve">. </w:t>
      </w:r>
      <w:r w:rsidR="000C32CD" w:rsidRPr="00606B27">
        <w:t>B</w:t>
      </w:r>
      <w:r w:rsidR="00D979ED" w:rsidRPr="00606B27">
        <w:t>rev</w:t>
      </w:r>
      <w:r w:rsidR="000C32CD" w:rsidRPr="00606B27">
        <w:t>et</w:t>
      </w:r>
      <w:r w:rsidR="00D979ED" w:rsidRPr="00606B27">
        <w:t xml:space="preserve"> er </w:t>
      </w:r>
      <w:r w:rsidR="008C4E2B" w:rsidRPr="00606B27">
        <w:t xml:space="preserve">stilet til </w:t>
      </w:r>
      <w:r w:rsidR="00D979ED" w:rsidRPr="00606B27">
        <w:t xml:space="preserve">alle </w:t>
      </w:r>
      <w:r w:rsidR="00C03666" w:rsidRPr="00606B27">
        <w:t xml:space="preserve">læger, der </w:t>
      </w:r>
      <w:r w:rsidR="00E00F7A" w:rsidRPr="00606B27">
        <w:t xml:space="preserve">ordinerer </w:t>
      </w:r>
      <w:r w:rsidR="00C03666" w:rsidRPr="00606B27">
        <w:t>præventionsmidler,</w:t>
      </w:r>
      <w:r w:rsidR="00D979ED" w:rsidRPr="00606B27">
        <w:t xml:space="preserve"> og </w:t>
      </w:r>
      <w:r w:rsidR="00E00F7A" w:rsidRPr="00606B27">
        <w:t>øvrigt</w:t>
      </w:r>
      <w:r w:rsidR="00D979ED" w:rsidRPr="00606B27">
        <w:t xml:space="preserve"> sundhed</w:t>
      </w:r>
      <w:r w:rsidR="00E00F7A" w:rsidRPr="00606B27">
        <w:t>spersonale</w:t>
      </w:r>
      <w:r w:rsidR="00D979ED" w:rsidRPr="00606B27">
        <w:t xml:space="preserve">, </w:t>
      </w:r>
      <w:r w:rsidR="003D4A86" w:rsidRPr="00606B27">
        <w:t xml:space="preserve">der kan komme i kontakt med kvinder med en mulig </w:t>
      </w:r>
      <w:proofErr w:type="spellStart"/>
      <w:r w:rsidR="003D4A86" w:rsidRPr="00606B27">
        <w:t>tromboemboli</w:t>
      </w:r>
      <w:proofErr w:type="spellEnd"/>
      <w:r w:rsidR="00D979ED" w:rsidRPr="00606B27">
        <w:t xml:space="preserve">, </w:t>
      </w:r>
      <w:r w:rsidR="00E242FE" w:rsidRPr="00606B27">
        <w:t>der</w:t>
      </w:r>
      <w:r w:rsidR="0028040A" w:rsidRPr="00606B27">
        <w:t xml:space="preserve"> </w:t>
      </w:r>
      <w:r w:rsidR="00C03666" w:rsidRPr="00606B27">
        <w:t xml:space="preserve">kan </w:t>
      </w:r>
      <w:r w:rsidR="004D06D6" w:rsidRPr="00606B27">
        <w:t>skyldes</w:t>
      </w:r>
      <w:r w:rsidR="00C03666" w:rsidRPr="00606B27">
        <w:t xml:space="preserve"> </w:t>
      </w:r>
      <w:r w:rsidR="002643BA" w:rsidRPr="00606B27">
        <w:rPr>
          <w:rFonts w:cs="Times New Roman"/>
          <w:kern w:val="32"/>
        </w:rPr>
        <w:t>hormonelle kontraceptiva af kombinationstypen</w:t>
      </w:r>
      <w:r w:rsidR="004D06D6" w:rsidRPr="00606B27">
        <w:t xml:space="preserve">. Brevet er godkendt af Det Europæiske </w:t>
      </w:r>
      <w:r w:rsidR="00253B08" w:rsidRPr="00606B27">
        <w:t>L</w:t>
      </w:r>
      <w:r w:rsidR="004D06D6" w:rsidRPr="00606B27">
        <w:t>ægemiddel</w:t>
      </w:r>
      <w:r w:rsidR="00253B08" w:rsidRPr="00606B27">
        <w:softHyphen/>
      </w:r>
      <w:r w:rsidR="004D06D6" w:rsidRPr="00606B27">
        <w:t>agentur (EMA), markedsførings</w:t>
      </w:r>
      <w:r w:rsidR="00334A7A" w:rsidRPr="00606B27">
        <w:softHyphen/>
      </w:r>
      <w:r w:rsidR="004D06D6" w:rsidRPr="00606B27">
        <w:t>indehaverne og Sundheds</w:t>
      </w:r>
      <w:r w:rsidR="00F87111" w:rsidRPr="00606B27">
        <w:softHyphen/>
      </w:r>
      <w:r w:rsidR="004D06D6" w:rsidRPr="00606B27">
        <w:t>styrelsen.</w:t>
      </w:r>
      <w:r w:rsidR="00D979ED" w:rsidRPr="00606B27">
        <w:t xml:space="preserve">  </w:t>
      </w:r>
    </w:p>
    <w:p w:rsidR="00334A7A" w:rsidRPr="009A0704" w:rsidRDefault="009A0704">
      <w:pPr>
        <w:rPr>
          <w:b/>
        </w:rPr>
      </w:pPr>
      <w:r>
        <w:rPr>
          <w:b/>
        </w:rPr>
        <w:t>Resumé</w:t>
      </w:r>
    </w:p>
    <w:p w:rsidR="0074453A" w:rsidRPr="0074453A" w:rsidRDefault="00EA5507" w:rsidP="00EA5507">
      <w:pPr>
        <w:numPr>
          <w:ilvl w:val="0"/>
          <w:numId w:val="1"/>
        </w:numPr>
        <w:spacing w:before="120" w:after="0" w:line="240" w:lineRule="auto"/>
        <w:rPr>
          <w:b/>
        </w:rPr>
      </w:pPr>
      <w:r w:rsidRPr="0074453A">
        <w:rPr>
          <w:b/>
        </w:rPr>
        <w:t xml:space="preserve">Resultatet af </w:t>
      </w:r>
      <w:r w:rsidR="0056418A" w:rsidRPr="0074453A">
        <w:rPr>
          <w:b/>
        </w:rPr>
        <w:t>revurderingen</w:t>
      </w:r>
      <w:r w:rsidRPr="0074453A">
        <w:rPr>
          <w:b/>
        </w:rPr>
        <w:t xml:space="preserve"> bekræfter</w:t>
      </w:r>
      <w:r w:rsidR="007E2827" w:rsidRPr="0074453A">
        <w:rPr>
          <w:b/>
        </w:rPr>
        <w:t xml:space="preserve"> den tidligere antagelse</w:t>
      </w:r>
      <w:r w:rsidRPr="0074453A">
        <w:rPr>
          <w:b/>
        </w:rPr>
        <w:t>, at risikoen for venøs trombo</w:t>
      </w:r>
      <w:r w:rsidR="0074453A" w:rsidRPr="0074453A">
        <w:rPr>
          <w:b/>
        </w:rPr>
        <w:softHyphen/>
      </w:r>
      <w:r w:rsidRPr="0074453A">
        <w:rPr>
          <w:b/>
        </w:rPr>
        <w:t xml:space="preserve">emboli </w:t>
      </w:r>
      <w:r w:rsidR="005066BC" w:rsidRPr="0074453A">
        <w:rPr>
          <w:b/>
        </w:rPr>
        <w:t xml:space="preserve">(VTE) </w:t>
      </w:r>
      <w:r w:rsidRPr="0074453A">
        <w:rPr>
          <w:b/>
        </w:rPr>
        <w:t xml:space="preserve">er </w:t>
      </w:r>
      <w:r w:rsidR="006B5D84">
        <w:rPr>
          <w:b/>
        </w:rPr>
        <w:t>lav</w:t>
      </w:r>
      <w:r w:rsidRPr="0074453A">
        <w:rPr>
          <w:b/>
        </w:rPr>
        <w:t xml:space="preserve"> for alle </w:t>
      </w:r>
      <w:r w:rsidR="006B5D84" w:rsidRPr="006B5D84">
        <w:rPr>
          <w:rFonts w:cs="Times New Roman"/>
          <w:b/>
          <w:szCs w:val="24"/>
        </w:rPr>
        <w:t>lavdosis</w:t>
      </w:r>
      <w:r w:rsidR="00305EEA">
        <w:rPr>
          <w:rFonts w:cs="Times New Roman"/>
          <w:b/>
          <w:szCs w:val="24"/>
        </w:rPr>
        <w:t xml:space="preserve"> hormonelle kontraceptiva af k</w:t>
      </w:r>
      <w:r w:rsidR="006B5D84" w:rsidRPr="006B5D84">
        <w:rPr>
          <w:rFonts w:cs="Times New Roman"/>
          <w:b/>
          <w:szCs w:val="24"/>
        </w:rPr>
        <w:t>ombinations</w:t>
      </w:r>
      <w:r w:rsidR="00305EEA">
        <w:rPr>
          <w:rFonts w:cs="Times New Roman"/>
          <w:b/>
          <w:szCs w:val="24"/>
        </w:rPr>
        <w:t>typen</w:t>
      </w:r>
      <w:r w:rsidR="006B5D84" w:rsidRPr="00271149">
        <w:rPr>
          <w:rFonts w:cs="Times New Roman"/>
          <w:szCs w:val="24"/>
        </w:rPr>
        <w:t xml:space="preserve"> </w:t>
      </w:r>
      <w:r w:rsidR="0074453A" w:rsidRPr="0074453A">
        <w:rPr>
          <w:rFonts w:cs="Times New Roman"/>
          <w:b/>
          <w:noProof/>
          <w:szCs w:val="24"/>
        </w:rPr>
        <w:t>(&lt;50 μg ethinyl</w:t>
      </w:r>
      <w:r w:rsidR="0074453A">
        <w:rPr>
          <w:rFonts w:cs="Times New Roman"/>
          <w:b/>
          <w:noProof/>
          <w:szCs w:val="24"/>
        </w:rPr>
        <w:softHyphen/>
      </w:r>
      <w:r w:rsidR="0074453A" w:rsidRPr="0074453A">
        <w:rPr>
          <w:rFonts w:cs="Times New Roman"/>
          <w:b/>
          <w:noProof/>
          <w:szCs w:val="24"/>
        </w:rPr>
        <w:t>estradiol).</w:t>
      </w:r>
    </w:p>
    <w:p w:rsidR="00EA5507" w:rsidRPr="0074453A" w:rsidRDefault="00187DEE" w:rsidP="00EA5507">
      <w:pPr>
        <w:numPr>
          <w:ilvl w:val="0"/>
          <w:numId w:val="1"/>
        </w:numPr>
        <w:spacing w:before="120" w:after="0" w:line="240" w:lineRule="auto"/>
        <w:rPr>
          <w:b/>
        </w:rPr>
      </w:pPr>
      <w:r w:rsidRPr="0074453A">
        <w:rPr>
          <w:b/>
        </w:rPr>
        <w:t xml:space="preserve">Der er </w:t>
      </w:r>
      <w:r w:rsidR="002F4473" w:rsidRPr="0074453A">
        <w:rPr>
          <w:b/>
        </w:rPr>
        <w:t xml:space="preserve">god </w:t>
      </w:r>
      <w:r w:rsidR="00803FF7" w:rsidRPr="0074453A">
        <w:rPr>
          <w:b/>
        </w:rPr>
        <w:t>e</w:t>
      </w:r>
      <w:r w:rsidR="00324219" w:rsidRPr="0074453A">
        <w:rPr>
          <w:b/>
        </w:rPr>
        <w:t>videns</w:t>
      </w:r>
      <w:r w:rsidRPr="0074453A">
        <w:rPr>
          <w:b/>
        </w:rPr>
        <w:t xml:space="preserve"> for, at der er forskel </w:t>
      </w:r>
      <w:r w:rsidR="001A52D1">
        <w:rPr>
          <w:b/>
        </w:rPr>
        <w:t>i VTE-risiko</w:t>
      </w:r>
      <w:r w:rsidR="00252C73" w:rsidRPr="0074453A">
        <w:rPr>
          <w:b/>
        </w:rPr>
        <w:t xml:space="preserve"> ved de forskellige </w:t>
      </w:r>
      <w:r w:rsidR="001A52D1" w:rsidRPr="006B5D84">
        <w:rPr>
          <w:rFonts w:cs="Times New Roman"/>
          <w:b/>
          <w:szCs w:val="24"/>
        </w:rPr>
        <w:t>hormonelle kontraceptiva af kombinationstypen</w:t>
      </w:r>
      <w:r w:rsidR="001A52D1">
        <w:rPr>
          <w:rFonts w:cs="Times New Roman"/>
          <w:szCs w:val="24"/>
        </w:rPr>
        <w:t xml:space="preserve"> </w:t>
      </w:r>
      <w:r w:rsidRPr="0074453A">
        <w:rPr>
          <w:b/>
        </w:rPr>
        <w:t xml:space="preserve">afhængig af den </w:t>
      </w:r>
      <w:r w:rsidR="00990DD1" w:rsidRPr="0074453A">
        <w:rPr>
          <w:b/>
        </w:rPr>
        <w:t>gestagen</w:t>
      </w:r>
      <w:r w:rsidR="001A52D1">
        <w:rPr>
          <w:b/>
        </w:rPr>
        <w:t xml:space="preserve">type, </w:t>
      </w:r>
      <w:r w:rsidRPr="0074453A">
        <w:rPr>
          <w:b/>
        </w:rPr>
        <w:t xml:space="preserve">de indeholder. </w:t>
      </w:r>
      <w:r w:rsidR="00A3067B" w:rsidRPr="0074453A">
        <w:rPr>
          <w:b/>
        </w:rPr>
        <w:t>De data, der er til</w:t>
      </w:r>
      <w:r w:rsidR="00996C8C">
        <w:rPr>
          <w:b/>
        </w:rPr>
        <w:softHyphen/>
      </w:r>
      <w:r w:rsidR="00A3067B" w:rsidRPr="0074453A">
        <w:rPr>
          <w:b/>
        </w:rPr>
        <w:t>gængelige</w:t>
      </w:r>
      <w:r w:rsidR="002F4473" w:rsidRPr="0074453A">
        <w:rPr>
          <w:b/>
        </w:rPr>
        <w:t>,</w:t>
      </w:r>
      <w:r w:rsidR="00A3067B" w:rsidRPr="0074453A">
        <w:rPr>
          <w:b/>
        </w:rPr>
        <w:t xml:space="preserve"> indikerer, at </w:t>
      </w:r>
      <w:r w:rsidR="001F5A9A">
        <w:rPr>
          <w:b/>
        </w:rPr>
        <w:t xml:space="preserve">de </w:t>
      </w:r>
      <w:r w:rsidR="001A52D1">
        <w:rPr>
          <w:b/>
        </w:rPr>
        <w:t>præparater</w:t>
      </w:r>
      <w:r w:rsidR="00A3067B" w:rsidRPr="0074453A">
        <w:rPr>
          <w:b/>
        </w:rPr>
        <w:t xml:space="preserve">, der indeholder </w:t>
      </w:r>
      <w:r w:rsidR="003278D0" w:rsidRPr="0074453A">
        <w:rPr>
          <w:b/>
        </w:rPr>
        <w:t>g</w:t>
      </w:r>
      <w:r w:rsidR="000C0C91">
        <w:rPr>
          <w:b/>
        </w:rPr>
        <w:t>esta</w:t>
      </w:r>
      <w:r w:rsidR="00A3067B" w:rsidRPr="0074453A">
        <w:rPr>
          <w:b/>
        </w:rPr>
        <w:t xml:space="preserve">generne </w:t>
      </w:r>
      <w:proofErr w:type="spellStart"/>
      <w:r w:rsidR="00A3067B" w:rsidRPr="0074453A">
        <w:rPr>
          <w:b/>
        </w:rPr>
        <w:t>levonorgestrel</w:t>
      </w:r>
      <w:proofErr w:type="spellEnd"/>
      <w:r w:rsidR="00A3067B" w:rsidRPr="0074453A">
        <w:rPr>
          <w:b/>
        </w:rPr>
        <w:t xml:space="preserve">, </w:t>
      </w:r>
      <w:proofErr w:type="spellStart"/>
      <w:r w:rsidR="00A3067B" w:rsidRPr="0074453A">
        <w:rPr>
          <w:b/>
        </w:rPr>
        <w:t>norethisteron</w:t>
      </w:r>
      <w:proofErr w:type="spellEnd"/>
      <w:r w:rsidR="00A3067B" w:rsidRPr="0074453A">
        <w:rPr>
          <w:b/>
        </w:rPr>
        <w:t xml:space="preserve"> og </w:t>
      </w:r>
      <w:proofErr w:type="spellStart"/>
      <w:r w:rsidR="00A3067B" w:rsidRPr="0074453A">
        <w:rPr>
          <w:b/>
        </w:rPr>
        <w:t>norgestimat</w:t>
      </w:r>
      <w:proofErr w:type="spellEnd"/>
      <w:r w:rsidR="00A3067B" w:rsidRPr="0074453A">
        <w:rPr>
          <w:b/>
        </w:rPr>
        <w:t xml:space="preserve"> har den laveste risiko for </w:t>
      </w:r>
      <w:r w:rsidR="00DA4367" w:rsidRPr="0074453A">
        <w:rPr>
          <w:b/>
        </w:rPr>
        <w:t xml:space="preserve">at forårsage </w:t>
      </w:r>
      <w:r w:rsidR="005066BC" w:rsidRPr="0074453A">
        <w:rPr>
          <w:b/>
        </w:rPr>
        <w:t>VTE</w:t>
      </w:r>
      <w:r w:rsidR="00A3067B" w:rsidRPr="0074453A">
        <w:rPr>
          <w:b/>
        </w:rPr>
        <w:t xml:space="preserve"> (se tabel 1 nedenfor).</w:t>
      </w:r>
    </w:p>
    <w:p w:rsidR="0093062A" w:rsidRDefault="00A3067B" w:rsidP="00EA5507">
      <w:pPr>
        <w:numPr>
          <w:ilvl w:val="0"/>
          <w:numId w:val="1"/>
        </w:numPr>
        <w:spacing w:before="120" w:after="0" w:line="240" w:lineRule="auto"/>
        <w:rPr>
          <w:b/>
        </w:rPr>
      </w:pPr>
      <w:r w:rsidRPr="0093062A">
        <w:rPr>
          <w:b/>
        </w:rPr>
        <w:t xml:space="preserve">Når der ordineres </w:t>
      </w:r>
      <w:r w:rsidR="001A52D1" w:rsidRPr="006B5D84">
        <w:rPr>
          <w:rFonts w:cs="Times New Roman"/>
          <w:b/>
          <w:szCs w:val="24"/>
        </w:rPr>
        <w:t>hormonelle kontraceptiva af kombinationstypen</w:t>
      </w:r>
      <w:r w:rsidRPr="0093062A">
        <w:rPr>
          <w:b/>
        </w:rPr>
        <w:t xml:space="preserve">, bør der tages højde for den </w:t>
      </w:r>
      <w:r w:rsidR="00DA4367" w:rsidRPr="0093062A">
        <w:rPr>
          <w:b/>
        </w:rPr>
        <w:t>enkelte</w:t>
      </w:r>
      <w:r w:rsidRPr="0093062A">
        <w:rPr>
          <w:b/>
        </w:rPr>
        <w:t xml:space="preserve"> kvindes </w:t>
      </w:r>
      <w:r w:rsidR="001A52D1">
        <w:rPr>
          <w:b/>
        </w:rPr>
        <w:t>nuværende</w:t>
      </w:r>
      <w:r w:rsidRPr="0093062A">
        <w:rPr>
          <w:b/>
        </w:rPr>
        <w:t xml:space="preserve"> risikofaktorer</w:t>
      </w:r>
      <w:r w:rsidR="00515A6F">
        <w:rPr>
          <w:b/>
        </w:rPr>
        <w:t>,</w:t>
      </w:r>
      <w:r w:rsidRPr="0093062A">
        <w:rPr>
          <w:b/>
        </w:rPr>
        <w:t xml:space="preserve"> især </w:t>
      </w:r>
      <w:proofErr w:type="spellStart"/>
      <w:r w:rsidR="00C75F7F">
        <w:rPr>
          <w:b/>
        </w:rPr>
        <w:t>VTE-</w:t>
      </w:r>
      <w:r w:rsidR="001A52D1">
        <w:rPr>
          <w:b/>
        </w:rPr>
        <w:t>risikofaktorer</w:t>
      </w:r>
      <w:proofErr w:type="spellEnd"/>
      <w:r w:rsidR="00472B10">
        <w:rPr>
          <w:b/>
        </w:rPr>
        <w:t>,</w:t>
      </w:r>
      <w:r w:rsidRPr="0093062A">
        <w:rPr>
          <w:b/>
        </w:rPr>
        <w:t xml:space="preserve"> og </w:t>
      </w:r>
      <w:r w:rsidR="00E45408">
        <w:rPr>
          <w:b/>
        </w:rPr>
        <w:t xml:space="preserve">for </w:t>
      </w:r>
      <w:proofErr w:type="spellStart"/>
      <w:r w:rsidR="00C75F7F">
        <w:rPr>
          <w:b/>
        </w:rPr>
        <w:t>VTE-risiko</w:t>
      </w:r>
      <w:r w:rsidR="00472B10">
        <w:rPr>
          <w:b/>
        </w:rPr>
        <w:t>forskel</w:t>
      </w:r>
      <w:r w:rsidR="00E45408">
        <w:rPr>
          <w:b/>
        </w:rPr>
        <w:t>len</w:t>
      </w:r>
      <w:proofErr w:type="spellEnd"/>
      <w:r w:rsidR="00C75F7F">
        <w:rPr>
          <w:b/>
        </w:rPr>
        <w:t xml:space="preserve"> </w:t>
      </w:r>
      <w:r w:rsidR="00E45408">
        <w:rPr>
          <w:b/>
        </w:rPr>
        <w:t>mellem de forskellige præparat</w:t>
      </w:r>
      <w:r w:rsidR="00C75F7F">
        <w:rPr>
          <w:b/>
        </w:rPr>
        <w:t>er.</w:t>
      </w:r>
    </w:p>
    <w:p w:rsidR="005066BC" w:rsidRPr="0093062A" w:rsidRDefault="001A52D1" w:rsidP="00EA5507">
      <w:pPr>
        <w:numPr>
          <w:ilvl w:val="0"/>
          <w:numId w:val="1"/>
        </w:numPr>
        <w:spacing w:before="120" w:after="0" w:line="240" w:lineRule="auto"/>
        <w:rPr>
          <w:b/>
        </w:rPr>
      </w:pPr>
      <w:r>
        <w:rPr>
          <w:b/>
        </w:rPr>
        <w:t>Kvinder</w:t>
      </w:r>
      <w:r w:rsidR="005066BC" w:rsidRPr="0093062A">
        <w:rPr>
          <w:b/>
        </w:rPr>
        <w:t xml:space="preserve">, der uden problemer har taget </w:t>
      </w:r>
      <w:r w:rsidRPr="006B5D84">
        <w:rPr>
          <w:rFonts w:cs="Times New Roman"/>
          <w:b/>
          <w:szCs w:val="24"/>
        </w:rPr>
        <w:t>hormonelle kontraceptiva af kombinationstypen</w:t>
      </w:r>
      <w:r w:rsidR="005066BC" w:rsidRPr="0093062A">
        <w:rPr>
          <w:b/>
        </w:rPr>
        <w:t>, behøver ikke at stoppe med at tage dem.</w:t>
      </w:r>
    </w:p>
    <w:p w:rsidR="00B9065E" w:rsidRPr="001A52D1" w:rsidRDefault="00B9065E" w:rsidP="00EA5507">
      <w:pPr>
        <w:numPr>
          <w:ilvl w:val="0"/>
          <w:numId w:val="1"/>
        </w:numPr>
        <w:spacing w:before="120" w:after="0" w:line="240" w:lineRule="auto"/>
        <w:rPr>
          <w:b/>
        </w:rPr>
      </w:pPr>
      <w:r w:rsidRPr="001A52D1">
        <w:rPr>
          <w:b/>
        </w:rPr>
        <w:t xml:space="preserve">Der er ingen </w:t>
      </w:r>
      <w:r w:rsidR="00575102">
        <w:rPr>
          <w:b/>
        </w:rPr>
        <w:t>evidens</w:t>
      </w:r>
      <w:r w:rsidRPr="001A52D1">
        <w:rPr>
          <w:b/>
        </w:rPr>
        <w:t xml:space="preserve"> for, at der skulle være forskel på </w:t>
      </w:r>
      <w:r w:rsidR="00984D72">
        <w:rPr>
          <w:b/>
        </w:rPr>
        <w:t xml:space="preserve">de forskellige </w:t>
      </w:r>
      <w:r w:rsidR="001A52D1" w:rsidRPr="001A52D1">
        <w:rPr>
          <w:rFonts w:cs="Times New Roman"/>
          <w:b/>
          <w:szCs w:val="24"/>
        </w:rPr>
        <w:t>lavdosis hormonelle kontraceptiva af kombinationstypen</w:t>
      </w:r>
      <w:r w:rsidR="001A52D1" w:rsidRPr="001A52D1">
        <w:rPr>
          <w:rFonts w:cs="Times New Roman"/>
          <w:szCs w:val="24"/>
        </w:rPr>
        <w:t xml:space="preserve"> </w:t>
      </w:r>
      <w:r w:rsidR="001A52D1" w:rsidRPr="001A52D1">
        <w:rPr>
          <w:rFonts w:cs="Times New Roman"/>
          <w:b/>
          <w:noProof/>
          <w:szCs w:val="24"/>
        </w:rPr>
        <w:t>(&lt;50 μg ethinyl</w:t>
      </w:r>
      <w:r w:rsidR="001A52D1" w:rsidRPr="001A52D1">
        <w:rPr>
          <w:rFonts w:cs="Times New Roman"/>
          <w:b/>
          <w:noProof/>
          <w:szCs w:val="24"/>
        </w:rPr>
        <w:softHyphen/>
        <w:t>estradiol)</w:t>
      </w:r>
      <w:r w:rsidR="001A52D1">
        <w:rPr>
          <w:rFonts w:cs="Times New Roman"/>
          <w:b/>
          <w:noProof/>
          <w:szCs w:val="24"/>
        </w:rPr>
        <w:t>,</w:t>
      </w:r>
      <w:r w:rsidRPr="001A52D1">
        <w:rPr>
          <w:b/>
        </w:rPr>
        <w:t xml:space="preserve"> </w:t>
      </w:r>
      <w:r w:rsidR="00BC1D86" w:rsidRPr="001A52D1">
        <w:rPr>
          <w:b/>
        </w:rPr>
        <w:t>hvad angår</w:t>
      </w:r>
      <w:r w:rsidRPr="001A52D1">
        <w:rPr>
          <w:b/>
        </w:rPr>
        <w:t xml:space="preserve"> risiko for arteriel tromboemboli (ATE).</w:t>
      </w:r>
    </w:p>
    <w:p w:rsidR="00B9065E" w:rsidRPr="00510137" w:rsidRDefault="001A52D1" w:rsidP="00EA5507">
      <w:pPr>
        <w:numPr>
          <w:ilvl w:val="0"/>
          <w:numId w:val="1"/>
        </w:numPr>
        <w:spacing w:before="120" w:after="0" w:line="240" w:lineRule="auto"/>
        <w:rPr>
          <w:b/>
        </w:rPr>
      </w:pPr>
      <w:r>
        <w:rPr>
          <w:b/>
        </w:rPr>
        <w:t>For de fleste kvinder opvejer fordelene</w:t>
      </w:r>
      <w:r w:rsidR="00B9065E">
        <w:rPr>
          <w:b/>
        </w:rPr>
        <w:t xml:space="preserve"> ved brug af </w:t>
      </w:r>
      <w:r w:rsidRPr="001A52D1">
        <w:rPr>
          <w:rFonts w:cs="Times New Roman"/>
          <w:b/>
          <w:szCs w:val="24"/>
        </w:rPr>
        <w:t>hormonelle kontraceptiva af kombinations</w:t>
      </w:r>
      <w:r w:rsidR="007F4A3F">
        <w:rPr>
          <w:rFonts w:cs="Times New Roman"/>
          <w:b/>
          <w:szCs w:val="24"/>
        </w:rPr>
        <w:softHyphen/>
      </w:r>
      <w:r w:rsidRPr="001A52D1">
        <w:rPr>
          <w:rFonts w:cs="Times New Roman"/>
          <w:b/>
          <w:szCs w:val="24"/>
        </w:rPr>
        <w:t>typen</w:t>
      </w:r>
      <w:r w:rsidR="00B9065E">
        <w:rPr>
          <w:b/>
        </w:rPr>
        <w:t xml:space="preserve"> </w:t>
      </w:r>
      <w:r>
        <w:rPr>
          <w:b/>
        </w:rPr>
        <w:t xml:space="preserve">langt </w:t>
      </w:r>
      <w:r w:rsidR="00B9065E">
        <w:rPr>
          <w:b/>
        </w:rPr>
        <w:t>risikoen for alvorlige bivirkninger</w:t>
      </w:r>
      <w:r w:rsidR="001A7D44">
        <w:rPr>
          <w:b/>
        </w:rPr>
        <w:t>.</w:t>
      </w:r>
      <w:r w:rsidR="00B9065E">
        <w:rPr>
          <w:b/>
        </w:rPr>
        <w:t xml:space="preserve"> </w:t>
      </w:r>
      <w:r w:rsidR="00C45CE5">
        <w:rPr>
          <w:b/>
        </w:rPr>
        <w:t>Fokus er nu på</w:t>
      </w:r>
      <w:r w:rsidR="00B9065E">
        <w:rPr>
          <w:b/>
        </w:rPr>
        <w:t xml:space="preserve"> at </w:t>
      </w:r>
      <w:r w:rsidR="007E2A24">
        <w:rPr>
          <w:b/>
        </w:rPr>
        <w:t>understrege</w:t>
      </w:r>
      <w:r w:rsidR="00B9065E">
        <w:rPr>
          <w:b/>
        </w:rPr>
        <w:t xml:space="preserve"> betydningen af de</w:t>
      </w:r>
      <w:r w:rsidR="0022544F">
        <w:rPr>
          <w:b/>
        </w:rPr>
        <w:t>n</w:t>
      </w:r>
      <w:r w:rsidR="00B9065E">
        <w:rPr>
          <w:b/>
        </w:rPr>
        <w:t xml:space="preserve"> </w:t>
      </w:r>
      <w:r w:rsidR="007E2A24">
        <w:rPr>
          <w:b/>
        </w:rPr>
        <w:t>enkelte</w:t>
      </w:r>
      <w:r w:rsidR="0022544F">
        <w:rPr>
          <w:b/>
        </w:rPr>
        <w:t xml:space="preserve"> kvindes</w:t>
      </w:r>
      <w:r w:rsidR="0028044E">
        <w:rPr>
          <w:b/>
        </w:rPr>
        <w:t xml:space="preserve"> </w:t>
      </w:r>
      <w:r w:rsidR="00B9065E">
        <w:rPr>
          <w:b/>
        </w:rPr>
        <w:t xml:space="preserve">risikofaktorer og </w:t>
      </w:r>
      <w:r w:rsidR="00997F01">
        <w:rPr>
          <w:b/>
        </w:rPr>
        <w:t>på</w:t>
      </w:r>
      <w:r w:rsidR="007E2A24">
        <w:rPr>
          <w:b/>
        </w:rPr>
        <w:t xml:space="preserve"> </w:t>
      </w:r>
      <w:r w:rsidR="00B9065E">
        <w:rPr>
          <w:b/>
        </w:rPr>
        <w:t>behovet for regelm</w:t>
      </w:r>
      <w:r w:rsidR="0022544F">
        <w:rPr>
          <w:b/>
        </w:rPr>
        <w:t>æssigt at</w:t>
      </w:r>
      <w:r w:rsidR="00B9065E">
        <w:rPr>
          <w:b/>
        </w:rPr>
        <w:t xml:space="preserve"> revurd</w:t>
      </w:r>
      <w:r w:rsidR="007E2A24">
        <w:rPr>
          <w:b/>
        </w:rPr>
        <w:t>er</w:t>
      </w:r>
      <w:r w:rsidR="0022544F">
        <w:rPr>
          <w:b/>
        </w:rPr>
        <w:t xml:space="preserve">e hendes </w:t>
      </w:r>
      <w:r w:rsidR="00A37A74">
        <w:rPr>
          <w:b/>
        </w:rPr>
        <w:t>risici</w:t>
      </w:r>
      <w:r w:rsidR="0028044E">
        <w:rPr>
          <w:b/>
        </w:rPr>
        <w:t>.</w:t>
      </w:r>
      <w:r w:rsidR="00997F01">
        <w:rPr>
          <w:b/>
        </w:rPr>
        <w:t xml:space="preserve"> </w:t>
      </w:r>
      <w:r w:rsidR="00566E60" w:rsidRPr="00510137">
        <w:rPr>
          <w:b/>
        </w:rPr>
        <w:t>O</w:t>
      </w:r>
      <w:r w:rsidR="00997F01" w:rsidRPr="00510137">
        <w:rPr>
          <w:b/>
        </w:rPr>
        <w:t>pmærksomhed</w:t>
      </w:r>
      <w:r w:rsidR="00566E60" w:rsidRPr="00510137">
        <w:rPr>
          <w:b/>
        </w:rPr>
        <w:t xml:space="preserve">en skal </w:t>
      </w:r>
      <w:r w:rsidR="001A7D44" w:rsidRPr="00510137">
        <w:rPr>
          <w:b/>
        </w:rPr>
        <w:t xml:space="preserve">være </w:t>
      </w:r>
      <w:r w:rsidR="00566E60" w:rsidRPr="00510137">
        <w:rPr>
          <w:b/>
        </w:rPr>
        <w:t>rette</w:t>
      </w:r>
      <w:r w:rsidR="001A7D44" w:rsidRPr="00510137">
        <w:rPr>
          <w:b/>
        </w:rPr>
        <w:t>t</w:t>
      </w:r>
      <w:r w:rsidR="00997F01" w:rsidRPr="00510137">
        <w:rPr>
          <w:b/>
        </w:rPr>
        <w:t xml:space="preserve"> på </w:t>
      </w:r>
      <w:r w:rsidR="007E2A24" w:rsidRPr="00510137">
        <w:rPr>
          <w:b/>
        </w:rPr>
        <w:t>tegn</w:t>
      </w:r>
      <w:r w:rsidR="00B9065E" w:rsidRPr="00510137">
        <w:rPr>
          <w:b/>
        </w:rPr>
        <w:t xml:space="preserve"> </w:t>
      </w:r>
      <w:r w:rsidR="00C75F7F" w:rsidRPr="00510137">
        <w:rPr>
          <w:b/>
        </w:rPr>
        <w:t>og</w:t>
      </w:r>
      <w:r w:rsidR="00B9065E" w:rsidRPr="00510137">
        <w:rPr>
          <w:b/>
        </w:rPr>
        <w:t xml:space="preserve"> symptomer på </w:t>
      </w:r>
      <w:r w:rsidR="00997F01" w:rsidRPr="00510137">
        <w:rPr>
          <w:b/>
        </w:rPr>
        <w:t>VTE og ATE,</w:t>
      </w:r>
      <w:r w:rsidR="00B9065E" w:rsidRPr="00510137">
        <w:rPr>
          <w:b/>
        </w:rPr>
        <w:t xml:space="preserve"> </w:t>
      </w:r>
      <w:r w:rsidR="00566E60" w:rsidRPr="00510137">
        <w:rPr>
          <w:b/>
        </w:rPr>
        <w:t>og</w:t>
      </w:r>
      <w:r w:rsidR="0028044E" w:rsidRPr="00510137">
        <w:rPr>
          <w:b/>
        </w:rPr>
        <w:t xml:space="preserve"> d</w:t>
      </w:r>
      <w:r w:rsidR="0022544F" w:rsidRPr="00510137">
        <w:rPr>
          <w:b/>
        </w:rPr>
        <w:t>isse bør beskrives for kvinden</w:t>
      </w:r>
      <w:r w:rsidR="00566E60" w:rsidRPr="00510137">
        <w:rPr>
          <w:b/>
        </w:rPr>
        <w:t>,</w:t>
      </w:r>
      <w:r w:rsidR="00B9065E" w:rsidRPr="00510137">
        <w:rPr>
          <w:b/>
        </w:rPr>
        <w:t xml:space="preserve"> når </w:t>
      </w:r>
      <w:r w:rsidR="0022544F" w:rsidRPr="00510137">
        <w:rPr>
          <w:b/>
        </w:rPr>
        <w:t>hun</w:t>
      </w:r>
      <w:r w:rsidR="00566E60" w:rsidRPr="00510137">
        <w:rPr>
          <w:b/>
        </w:rPr>
        <w:t xml:space="preserve"> får </w:t>
      </w:r>
      <w:r w:rsidR="0022544F" w:rsidRPr="00510137">
        <w:rPr>
          <w:b/>
        </w:rPr>
        <w:t xml:space="preserve">en </w:t>
      </w:r>
      <w:r w:rsidR="00566E60" w:rsidRPr="00510137">
        <w:rPr>
          <w:b/>
        </w:rPr>
        <w:t>recept på</w:t>
      </w:r>
      <w:r w:rsidR="00B9065E" w:rsidRPr="00510137">
        <w:rPr>
          <w:b/>
        </w:rPr>
        <w:t xml:space="preserve"> </w:t>
      </w:r>
      <w:r w:rsidR="0022544F" w:rsidRPr="00510137">
        <w:rPr>
          <w:b/>
        </w:rPr>
        <w:t xml:space="preserve">et </w:t>
      </w:r>
      <w:r w:rsidR="00B0743E" w:rsidRPr="00510137">
        <w:rPr>
          <w:b/>
        </w:rPr>
        <w:t xml:space="preserve">hormonelt </w:t>
      </w:r>
      <w:proofErr w:type="spellStart"/>
      <w:r w:rsidR="00B0743E" w:rsidRPr="00510137">
        <w:rPr>
          <w:b/>
        </w:rPr>
        <w:t>kontraceptiva</w:t>
      </w:r>
      <w:proofErr w:type="spellEnd"/>
      <w:r w:rsidR="00B0743E" w:rsidRPr="00510137">
        <w:rPr>
          <w:b/>
        </w:rPr>
        <w:t xml:space="preserve"> af kombinations</w:t>
      </w:r>
      <w:r w:rsidR="00B0743E" w:rsidRPr="00510137">
        <w:rPr>
          <w:b/>
        </w:rPr>
        <w:softHyphen/>
        <w:t>typen.</w:t>
      </w:r>
    </w:p>
    <w:p w:rsidR="00510137" w:rsidRPr="003D4A86" w:rsidRDefault="00C54F40" w:rsidP="001511E4">
      <w:pPr>
        <w:numPr>
          <w:ilvl w:val="0"/>
          <w:numId w:val="1"/>
        </w:numPr>
        <w:spacing w:before="120" w:after="0" w:line="240" w:lineRule="auto"/>
        <w:rPr>
          <w:b/>
          <w:i/>
        </w:rPr>
      </w:pPr>
      <w:r w:rsidRPr="00510137">
        <w:rPr>
          <w:b/>
        </w:rPr>
        <w:t>O</w:t>
      </w:r>
      <w:r w:rsidR="00566E60" w:rsidRPr="00510137">
        <w:rPr>
          <w:b/>
        </w:rPr>
        <w:t>vervej</w:t>
      </w:r>
      <w:r w:rsidRPr="00510137">
        <w:rPr>
          <w:b/>
        </w:rPr>
        <w:t xml:space="preserve"> altid</w:t>
      </w:r>
      <w:r w:rsidR="00566E60" w:rsidRPr="00510137">
        <w:rPr>
          <w:b/>
        </w:rPr>
        <w:t xml:space="preserve"> muligheden </w:t>
      </w:r>
      <w:r w:rsidR="00D471C4" w:rsidRPr="00510137">
        <w:rPr>
          <w:b/>
        </w:rPr>
        <w:t xml:space="preserve">for </w:t>
      </w:r>
      <w:proofErr w:type="spellStart"/>
      <w:r w:rsidR="00D471C4" w:rsidRPr="00510137">
        <w:rPr>
          <w:b/>
        </w:rPr>
        <w:t>tromboemboli</w:t>
      </w:r>
      <w:proofErr w:type="spellEnd"/>
      <w:r w:rsidR="00D471C4" w:rsidRPr="00510137">
        <w:rPr>
          <w:b/>
        </w:rPr>
        <w:t xml:space="preserve"> forårsaget af </w:t>
      </w:r>
      <w:r w:rsidR="001A7D44" w:rsidRPr="00510137">
        <w:rPr>
          <w:rFonts w:cs="Times New Roman"/>
          <w:b/>
          <w:szCs w:val="24"/>
        </w:rPr>
        <w:t xml:space="preserve">hormonelle </w:t>
      </w:r>
      <w:proofErr w:type="spellStart"/>
      <w:r w:rsidR="001A7D44" w:rsidRPr="00510137">
        <w:rPr>
          <w:rFonts w:cs="Times New Roman"/>
          <w:b/>
          <w:szCs w:val="24"/>
        </w:rPr>
        <w:t>kontraceptiva</w:t>
      </w:r>
      <w:proofErr w:type="spellEnd"/>
      <w:r w:rsidR="001A7D44" w:rsidRPr="00510137">
        <w:rPr>
          <w:rFonts w:cs="Times New Roman"/>
          <w:b/>
          <w:szCs w:val="24"/>
        </w:rPr>
        <w:t xml:space="preserve"> af kombinationstypen</w:t>
      </w:r>
      <w:r w:rsidR="00D471C4" w:rsidRPr="00510137">
        <w:rPr>
          <w:rFonts w:cs="Times New Roman"/>
          <w:b/>
          <w:szCs w:val="24"/>
        </w:rPr>
        <w:t>, hos kvinder med</w:t>
      </w:r>
      <w:r w:rsidR="00D471C4" w:rsidRPr="00510137">
        <w:rPr>
          <w:b/>
        </w:rPr>
        <w:t xml:space="preserve"> </w:t>
      </w:r>
      <w:proofErr w:type="spellStart"/>
      <w:r w:rsidR="00D471C4" w:rsidRPr="00510137">
        <w:rPr>
          <w:b/>
        </w:rPr>
        <w:t>tromboemboli-symptomer</w:t>
      </w:r>
      <w:proofErr w:type="spellEnd"/>
      <w:r w:rsidR="00D471C4" w:rsidRPr="00510137">
        <w:rPr>
          <w:b/>
        </w:rPr>
        <w:t xml:space="preserve">. </w:t>
      </w:r>
    </w:p>
    <w:p w:rsidR="00510137" w:rsidRPr="003D4A86" w:rsidRDefault="00510137" w:rsidP="00510137">
      <w:pPr>
        <w:spacing w:before="120" w:after="0" w:line="240" w:lineRule="auto"/>
        <w:ind w:left="795"/>
        <w:rPr>
          <w:b/>
          <w:i/>
        </w:rPr>
      </w:pPr>
    </w:p>
    <w:p w:rsidR="00510137" w:rsidRPr="00F85DA0" w:rsidRDefault="00F85DA0" w:rsidP="00510137">
      <w:pPr>
        <w:pStyle w:val="Default"/>
        <w:numPr>
          <w:ilvl w:val="0"/>
          <w:numId w:val="2"/>
        </w:numPr>
        <w:jc w:val="both"/>
        <w:rPr>
          <w:rFonts w:asciiTheme="minorHAnsi" w:eastAsia="Arial Unicode MS" w:hAnsiTheme="minorHAnsi"/>
          <w:sz w:val="22"/>
          <w:szCs w:val="22"/>
          <w:lang w:val="da-DK"/>
        </w:rPr>
      </w:pPr>
      <w:r w:rsidRPr="00F85DA0">
        <w:rPr>
          <w:rFonts w:asciiTheme="minorHAnsi" w:eastAsia="Arial Unicode MS" w:hAnsiTheme="minorHAnsi"/>
          <w:b/>
          <w:sz w:val="22"/>
          <w:szCs w:val="22"/>
          <w:lang w:val="da-DK"/>
        </w:rPr>
        <w:lastRenderedPageBreak/>
        <w:t>Der</w:t>
      </w:r>
      <w:r w:rsidR="00510137" w:rsidRPr="00F85DA0">
        <w:rPr>
          <w:rFonts w:asciiTheme="minorHAnsi" w:eastAsia="Arial Unicode MS" w:hAnsiTheme="minorHAnsi"/>
          <w:b/>
          <w:sz w:val="22"/>
          <w:szCs w:val="22"/>
          <w:lang w:val="da-DK"/>
        </w:rPr>
        <w:t xml:space="preserve"> vil </w:t>
      </w:r>
      <w:r w:rsidRPr="00F85DA0">
        <w:rPr>
          <w:rFonts w:asciiTheme="minorHAnsi" w:eastAsia="Arial Unicode MS" w:hAnsiTheme="minorHAnsi"/>
          <w:b/>
          <w:sz w:val="22"/>
          <w:szCs w:val="22"/>
          <w:lang w:val="da-DK"/>
        </w:rPr>
        <w:t xml:space="preserve">blive </w:t>
      </w:r>
      <w:r w:rsidR="00510137" w:rsidRPr="00F85DA0">
        <w:rPr>
          <w:rFonts w:asciiTheme="minorHAnsi" w:eastAsia="Arial Unicode MS" w:hAnsiTheme="minorHAnsi"/>
          <w:b/>
          <w:sz w:val="22"/>
          <w:szCs w:val="22"/>
          <w:lang w:val="da-DK"/>
        </w:rPr>
        <w:t>udarbejde</w:t>
      </w:r>
      <w:r w:rsidRPr="00F85DA0">
        <w:rPr>
          <w:rFonts w:asciiTheme="minorHAnsi" w:eastAsia="Arial Unicode MS" w:hAnsiTheme="minorHAnsi"/>
          <w:b/>
          <w:sz w:val="22"/>
          <w:szCs w:val="22"/>
          <w:lang w:val="da-DK"/>
        </w:rPr>
        <w:t>t</w:t>
      </w:r>
      <w:r w:rsidR="00510137" w:rsidRPr="00F85DA0">
        <w:rPr>
          <w:rFonts w:asciiTheme="minorHAnsi" w:eastAsia="Arial Unicode MS" w:hAnsiTheme="minorHAnsi"/>
          <w:b/>
          <w:sz w:val="22"/>
          <w:szCs w:val="22"/>
          <w:lang w:val="da-DK"/>
        </w:rPr>
        <w:t xml:space="preserve"> yderligere vejledende materiale for at gøre konsultationerne nemmere, herunder: En tjekliste som lægen kan gå igennem med kvinden for at sikre, at et kombineret hormonelt præventionsmiddel er egnet. Der vil også blive udarbejdet et kort for at gøre kvinder opmærksomme på de vigtige tegn og symptomer på VTE og ATE.</w:t>
      </w:r>
    </w:p>
    <w:p w:rsidR="00BC532B" w:rsidRPr="0066746C" w:rsidRDefault="0066746C" w:rsidP="0066746C">
      <w:pPr>
        <w:spacing w:before="120" w:after="0" w:line="240" w:lineRule="auto"/>
        <w:rPr>
          <w:b/>
          <w:color w:val="000000"/>
        </w:rPr>
      </w:pPr>
      <w:r w:rsidRPr="0066746C">
        <w:rPr>
          <w:b/>
          <w:color w:val="000000"/>
        </w:rPr>
        <w:t xml:space="preserve">Yderligere information vedr. sikkerhed </w:t>
      </w:r>
      <w:r w:rsidR="00312A85">
        <w:rPr>
          <w:b/>
          <w:color w:val="000000"/>
        </w:rPr>
        <w:t>og anbefalinger</w:t>
      </w:r>
    </w:p>
    <w:p w:rsidR="009C4C71" w:rsidRDefault="0066746C" w:rsidP="009C4C71">
      <w:pPr>
        <w:spacing w:before="120" w:after="0" w:line="240" w:lineRule="auto"/>
        <w:rPr>
          <w:rFonts w:ascii="Arial" w:eastAsia="Times New Roman" w:hAnsi="Arial" w:cs="Arial"/>
          <w:color w:val="777777"/>
          <w:sz w:val="14"/>
          <w:szCs w:val="14"/>
        </w:rPr>
      </w:pPr>
      <w:r>
        <w:rPr>
          <w:color w:val="000000"/>
        </w:rPr>
        <w:t>VTE-risikoen (dyb venetrombose</w:t>
      </w:r>
      <w:r w:rsidR="00C75F7F">
        <w:rPr>
          <w:color w:val="000000"/>
        </w:rPr>
        <w:t xml:space="preserve"> og</w:t>
      </w:r>
      <w:r>
        <w:rPr>
          <w:color w:val="000000"/>
        </w:rPr>
        <w:t xml:space="preserve"> </w:t>
      </w:r>
      <w:r w:rsidR="00C75F7F">
        <w:rPr>
          <w:color w:val="000000"/>
        </w:rPr>
        <w:t>lungeemboli</w:t>
      </w:r>
      <w:r>
        <w:rPr>
          <w:color w:val="000000"/>
        </w:rPr>
        <w:t xml:space="preserve">) hos brugere af </w:t>
      </w:r>
      <w:r w:rsidR="00583436">
        <w:rPr>
          <w:color w:val="000000"/>
        </w:rPr>
        <w:t xml:space="preserve">de </w:t>
      </w:r>
      <w:r>
        <w:rPr>
          <w:color w:val="000000"/>
        </w:rPr>
        <w:t xml:space="preserve">forskellige </w:t>
      </w:r>
      <w:r w:rsidR="001A7D44">
        <w:rPr>
          <w:rFonts w:cs="Times New Roman"/>
          <w:szCs w:val="24"/>
        </w:rPr>
        <w:t xml:space="preserve">hormonelle </w:t>
      </w:r>
      <w:r w:rsidR="001A7D44" w:rsidRPr="001A7D44">
        <w:rPr>
          <w:rFonts w:cs="Times New Roman"/>
          <w:szCs w:val="24"/>
        </w:rPr>
        <w:t>kontraceptiva af kombinationstypen</w:t>
      </w:r>
      <w:r w:rsidR="001A7D44" w:rsidRPr="001A7D44">
        <w:rPr>
          <w:color w:val="000000"/>
        </w:rPr>
        <w:t xml:space="preserve"> </w:t>
      </w:r>
      <w:r>
        <w:rPr>
          <w:color w:val="000000"/>
        </w:rPr>
        <w:t xml:space="preserve">har været undersøgt i mange studier. Konklusionen, der er baseret på samtlige data, er, at VTE-risikoen er forskellig for de forskellige </w:t>
      </w:r>
      <w:r w:rsidR="00482C37">
        <w:rPr>
          <w:color w:val="000000"/>
        </w:rPr>
        <w:t>p</w:t>
      </w:r>
      <w:r>
        <w:rPr>
          <w:color w:val="000000"/>
        </w:rPr>
        <w:t>ræparater</w:t>
      </w:r>
      <w:r w:rsidR="006B5BB6">
        <w:rPr>
          <w:color w:val="000000"/>
        </w:rPr>
        <w:t>. D</w:t>
      </w:r>
      <w:r>
        <w:rPr>
          <w:color w:val="000000"/>
        </w:rPr>
        <w:t xml:space="preserve">e præparater, der </w:t>
      </w:r>
      <w:r w:rsidR="006B5BB6">
        <w:rPr>
          <w:color w:val="000000"/>
        </w:rPr>
        <w:t>er forbundet med den</w:t>
      </w:r>
      <w:r>
        <w:rPr>
          <w:color w:val="000000"/>
        </w:rPr>
        <w:t xml:space="preserve"> laveste risiko, indeholder </w:t>
      </w:r>
      <w:r w:rsidR="000B4E7C">
        <w:rPr>
          <w:color w:val="000000"/>
        </w:rPr>
        <w:t>gesta</w:t>
      </w:r>
      <w:r>
        <w:rPr>
          <w:color w:val="000000"/>
        </w:rPr>
        <w:t xml:space="preserve">generne </w:t>
      </w:r>
      <w:proofErr w:type="spellStart"/>
      <w:r>
        <w:rPr>
          <w:color w:val="000000"/>
        </w:rPr>
        <w:t>l</w:t>
      </w:r>
      <w:r w:rsidR="000B4E7C">
        <w:rPr>
          <w:color w:val="000000"/>
        </w:rPr>
        <w:t>e</w:t>
      </w:r>
      <w:r>
        <w:rPr>
          <w:color w:val="000000"/>
        </w:rPr>
        <w:t>vonorgestrel</w:t>
      </w:r>
      <w:proofErr w:type="spellEnd"/>
      <w:r>
        <w:rPr>
          <w:color w:val="000000"/>
        </w:rPr>
        <w:t xml:space="preserve">, </w:t>
      </w:r>
      <w:proofErr w:type="spellStart"/>
      <w:r>
        <w:rPr>
          <w:color w:val="000000"/>
        </w:rPr>
        <w:t>norethisteron</w:t>
      </w:r>
      <w:proofErr w:type="spellEnd"/>
      <w:r>
        <w:rPr>
          <w:color w:val="000000"/>
        </w:rPr>
        <w:t xml:space="preserve"> og </w:t>
      </w:r>
      <w:proofErr w:type="spellStart"/>
      <w:r>
        <w:rPr>
          <w:color w:val="000000"/>
        </w:rPr>
        <w:t>norgestimat</w:t>
      </w:r>
      <w:proofErr w:type="spellEnd"/>
      <w:r>
        <w:rPr>
          <w:color w:val="000000"/>
        </w:rPr>
        <w:t xml:space="preserve">. For nogle præparaters vedkommende er der </w:t>
      </w:r>
      <w:r w:rsidR="00583436">
        <w:rPr>
          <w:color w:val="000000"/>
        </w:rPr>
        <w:t xml:space="preserve">indtil videre ikke tilstrækkelig data til kunne sammenligne </w:t>
      </w:r>
      <w:r w:rsidR="00482C37">
        <w:rPr>
          <w:color w:val="000000"/>
        </w:rPr>
        <w:t xml:space="preserve">deres </w:t>
      </w:r>
      <w:r w:rsidR="00C75F7F">
        <w:rPr>
          <w:color w:val="000000"/>
        </w:rPr>
        <w:t>risici</w:t>
      </w:r>
      <w:r w:rsidR="00482C37">
        <w:rPr>
          <w:color w:val="000000"/>
        </w:rPr>
        <w:t xml:space="preserve"> </w:t>
      </w:r>
      <w:r w:rsidR="00583436">
        <w:rPr>
          <w:color w:val="000000"/>
        </w:rPr>
        <w:t xml:space="preserve">med </w:t>
      </w:r>
      <w:r w:rsidR="00482C37">
        <w:rPr>
          <w:color w:val="000000"/>
        </w:rPr>
        <w:t xml:space="preserve">de præparater, der </w:t>
      </w:r>
      <w:r w:rsidR="00E43AFD">
        <w:rPr>
          <w:color w:val="000000"/>
        </w:rPr>
        <w:t>ligger i den laveste risikogruppe</w:t>
      </w:r>
      <w:r w:rsidR="00583436">
        <w:rPr>
          <w:color w:val="000000"/>
        </w:rPr>
        <w:t>.</w:t>
      </w:r>
      <w:r w:rsidR="00F46413" w:rsidRPr="00791608">
        <w:rPr>
          <w:rFonts w:ascii="Arial" w:eastAsia="Times New Roman" w:hAnsi="Arial" w:cs="Arial"/>
          <w:color w:val="777777"/>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ole="">
            <v:imagedata r:id="rId8" o:title=""/>
          </v:shape>
          <w:control r:id="rId9" w:name="tts" w:shapeid="_x0000_i1027"/>
        </w:object>
      </w:r>
    </w:p>
    <w:p w:rsidR="00F85DA0" w:rsidRPr="009C4C71" w:rsidRDefault="00F85DA0" w:rsidP="009C4C71">
      <w:pPr>
        <w:spacing w:before="120" w:after="0" w:line="240" w:lineRule="auto"/>
        <w:rPr>
          <w:rFonts w:ascii="Arial" w:eastAsia="Times New Roman" w:hAnsi="Arial" w:cs="Arial"/>
          <w:color w:val="777777"/>
        </w:rPr>
      </w:pPr>
    </w:p>
    <w:p w:rsidR="00583436" w:rsidRDefault="00791608" w:rsidP="009C4C71">
      <w:pPr>
        <w:shd w:val="clear" w:color="auto" w:fill="F5F5F5"/>
        <w:spacing w:after="86" w:line="240" w:lineRule="auto"/>
        <w:textAlignment w:val="top"/>
        <w:rPr>
          <w:color w:val="000000"/>
        </w:rPr>
      </w:pPr>
      <w:r>
        <w:rPr>
          <w:color w:val="000000"/>
        </w:rPr>
        <w:t xml:space="preserve">Tabel 1 viser </w:t>
      </w:r>
      <w:proofErr w:type="spellStart"/>
      <w:r w:rsidR="009C4C71">
        <w:rPr>
          <w:color w:val="000000"/>
        </w:rPr>
        <w:t>VTE-risiko</w:t>
      </w:r>
      <w:r>
        <w:rPr>
          <w:color w:val="000000"/>
        </w:rPr>
        <w:t>beregninger</w:t>
      </w:r>
      <w:proofErr w:type="spellEnd"/>
      <w:r>
        <w:rPr>
          <w:color w:val="000000"/>
        </w:rPr>
        <w:t xml:space="preserve"> </w:t>
      </w:r>
      <w:r w:rsidR="00583436">
        <w:rPr>
          <w:color w:val="000000"/>
        </w:rPr>
        <w:t xml:space="preserve">for </w:t>
      </w:r>
      <w:r>
        <w:rPr>
          <w:color w:val="000000"/>
        </w:rPr>
        <w:t>en række</w:t>
      </w:r>
      <w:r w:rsidR="00583436">
        <w:rPr>
          <w:color w:val="000000"/>
        </w:rPr>
        <w:t xml:space="preserve"> </w:t>
      </w:r>
      <w:proofErr w:type="spellStart"/>
      <w:r w:rsidR="00583436">
        <w:rPr>
          <w:color w:val="000000"/>
        </w:rPr>
        <w:t>ethinylestradiol</w:t>
      </w:r>
      <w:proofErr w:type="spellEnd"/>
      <w:r w:rsidR="009C4C71">
        <w:rPr>
          <w:color w:val="000000"/>
        </w:rPr>
        <w:t xml:space="preserve"> </w:t>
      </w:r>
      <w:r w:rsidR="00583436">
        <w:rPr>
          <w:color w:val="000000"/>
        </w:rPr>
        <w:t>/</w:t>
      </w:r>
      <w:r w:rsidR="009C4C71">
        <w:rPr>
          <w:color w:val="000000"/>
        </w:rPr>
        <w:t xml:space="preserve"> </w:t>
      </w:r>
      <w:r w:rsidR="006D01AF">
        <w:rPr>
          <w:color w:val="000000"/>
        </w:rPr>
        <w:t>gestagen</w:t>
      </w:r>
      <w:r w:rsidR="00583436">
        <w:rPr>
          <w:color w:val="000000"/>
        </w:rPr>
        <w:t>kombinationer sammenlignet med de</w:t>
      </w:r>
      <w:r w:rsidR="009C4C71">
        <w:rPr>
          <w:color w:val="000000"/>
        </w:rPr>
        <w:t>n</w:t>
      </w:r>
      <w:r w:rsidR="00583436">
        <w:rPr>
          <w:color w:val="000000"/>
        </w:rPr>
        <w:t xml:space="preserve"> risi</w:t>
      </w:r>
      <w:r w:rsidR="009C4C71">
        <w:rPr>
          <w:color w:val="000000"/>
        </w:rPr>
        <w:t>ko</w:t>
      </w:r>
      <w:r w:rsidR="00583436">
        <w:rPr>
          <w:color w:val="000000"/>
        </w:rPr>
        <w:t xml:space="preserve">, der er </w:t>
      </w:r>
      <w:r w:rsidR="005B6638">
        <w:rPr>
          <w:color w:val="000000"/>
        </w:rPr>
        <w:t>ved</w:t>
      </w:r>
      <w:r w:rsidR="00583436">
        <w:rPr>
          <w:color w:val="000000"/>
        </w:rPr>
        <w:t xml:space="preserve"> </w:t>
      </w:r>
      <w:r w:rsidR="009C4C71">
        <w:rPr>
          <w:color w:val="000000"/>
        </w:rPr>
        <w:t xml:space="preserve">de </w:t>
      </w:r>
      <w:r w:rsidR="009C4C71">
        <w:rPr>
          <w:rFonts w:cs="Times New Roman"/>
          <w:szCs w:val="24"/>
        </w:rPr>
        <w:t>præparater</w:t>
      </w:r>
      <w:r w:rsidR="00583436">
        <w:rPr>
          <w:color w:val="000000"/>
        </w:rPr>
        <w:t xml:space="preserve">, der indeholder </w:t>
      </w:r>
      <w:proofErr w:type="spellStart"/>
      <w:r w:rsidR="00583436">
        <w:rPr>
          <w:color w:val="000000"/>
        </w:rPr>
        <w:t>levonorgestrel</w:t>
      </w:r>
      <w:proofErr w:type="spellEnd"/>
      <w:r>
        <w:rPr>
          <w:color w:val="000000"/>
        </w:rPr>
        <w:t>.</w:t>
      </w:r>
      <w:r w:rsidR="00583436">
        <w:rPr>
          <w:color w:val="000000"/>
        </w:rPr>
        <w:t xml:space="preserve"> </w:t>
      </w:r>
    </w:p>
    <w:p w:rsidR="00583436" w:rsidRDefault="00EC7852" w:rsidP="0066746C">
      <w:pPr>
        <w:spacing w:before="120" w:after="0" w:line="240" w:lineRule="auto"/>
        <w:rPr>
          <w:color w:val="000000"/>
        </w:rPr>
      </w:pPr>
      <w:r>
        <w:rPr>
          <w:color w:val="000000"/>
        </w:rPr>
        <w:t xml:space="preserve">Sammenlignet med graviditets- og </w:t>
      </w:r>
      <w:proofErr w:type="spellStart"/>
      <w:r>
        <w:rPr>
          <w:color w:val="000000"/>
        </w:rPr>
        <w:t>postpartum-perioden</w:t>
      </w:r>
      <w:proofErr w:type="spellEnd"/>
      <w:r>
        <w:rPr>
          <w:color w:val="000000"/>
        </w:rPr>
        <w:t xml:space="preserve"> er </w:t>
      </w:r>
      <w:proofErr w:type="spellStart"/>
      <w:r w:rsidR="009C4C71">
        <w:rPr>
          <w:color w:val="000000"/>
        </w:rPr>
        <w:t>VTE-r</w:t>
      </w:r>
      <w:r w:rsidR="00583436">
        <w:rPr>
          <w:color w:val="000000"/>
        </w:rPr>
        <w:t>isikoen</w:t>
      </w:r>
      <w:proofErr w:type="spellEnd"/>
      <w:r w:rsidR="009C4C71">
        <w:rPr>
          <w:color w:val="000000"/>
        </w:rPr>
        <w:t xml:space="preserve"> </w:t>
      </w:r>
      <w:r w:rsidR="00F2230A">
        <w:rPr>
          <w:color w:val="000000"/>
        </w:rPr>
        <w:t>lavere for</w:t>
      </w:r>
      <w:r w:rsidR="00583436">
        <w:rPr>
          <w:color w:val="000000"/>
        </w:rPr>
        <w:t xml:space="preserve"> </w:t>
      </w:r>
      <w:r w:rsidR="006D01AF">
        <w:rPr>
          <w:color w:val="000000"/>
        </w:rPr>
        <w:t>hormonelle kon</w:t>
      </w:r>
      <w:r w:rsidR="009C4C71">
        <w:rPr>
          <w:color w:val="000000"/>
        </w:rPr>
        <w:t>traceptiva af kombinationstypen</w:t>
      </w:r>
      <w:r>
        <w:rPr>
          <w:color w:val="000000"/>
        </w:rPr>
        <w:t>.</w:t>
      </w:r>
    </w:p>
    <w:p w:rsidR="00583436" w:rsidRPr="00583436" w:rsidRDefault="00583436" w:rsidP="00583436">
      <w:pPr>
        <w:spacing w:before="120" w:line="280" w:lineRule="atLeast"/>
        <w:outlineLvl w:val="0"/>
        <w:rPr>
          <w:b/>
        </w:rPr>
      </w:pPr>
      <w:r w:rsidRPr="00583436">
        <w:rPr>
          <w:b/>
          <w:color w:val="000000"/>
        </w:rPr>
        <w:t xml:space="preserve">Tabel 1: </w:t>
      </w:r>
      <w:r w:rsidR="006A730B">
        <w:rPr>
          <w:b/>
          <w:color w:val="000000"/>
        </w:rPr>
        <w:t>VTE-</w:t>
      </w:r>
      <w:r w:rsidR="006A6B5E">
        <w:rPr>
          <w:b/>
          <w:color w:val="000000"/>
        </w:rPr>
        <w:t>r</w:t>
      </w:r>
      <w:r w:rsidRPr="00583436">
        <w:rPr>
          <w:b/>
        </w:rPr>
        <w:t xml:space="preserve">isiko ved brug af </w:t>
      </w:r>
      <w:r w:rsidR="006A730B">
        <w:rPr>
          <w:b/>
        </w:rPr>
        <w:t>h</w:t>
      </w:r>
      <w:r w:rsidR="006A730B" w:rsidRPr="00C03666">
        <w:rPr>
          <w:rFonts w:cs="Times New Roman"/>
          <w:b/>
          <w:kern w:val="32"/>
          <w:szCs w:val="24"/>
        </w:rPr>
        <w:t>ormonelle kontraceptiva af kombinationstypen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611"/>
        <w:gridCol w:w="3240"/>
      </w:tblGrid>
      <w:tr w:rsidR="00583436" w:rsidRPr="00396EB7" w:rsidTr="00154A7C">
        <w:tc>
          <w:tcPr>
            <w:tcW w:w="4077" w:type="dxa"/>
            <w:shd w:val="clear" w:color="auto" w:fill="auto"/>
          </w:tcPr>
          <w:p w:rsidR="00583436" w:rsidRPr="00396EB7" w:rsidRDefault="00291601" w:rsidP="00291601">
            <w:pPr>
              <w:autoSpaceDE w:val="0"/>
              <w:autoSpaceDN w:val="0"/>
              <w:adjustRightInd w:val="0"/>
              <w:spacing w:before="120" w:line="280" w:lineRule="atLeast"/>
              <w:jc w:val="center"/>
              <w:rPr>
                <w:b/>
              </w:rPr>
            </w:pPr>
            <w:r>
              <w:rPr>
                <w:rFonts w:cs="Times New Roman"/>
                <w:b/>
                <w:kern w:val="32"/>
                <w:szCs w:val="24"/>
              </w:rPr>
              <w:t>H</w:t>
            </w:r>
            <w:r w:rsidR="006A730B" w:rsidRPr="00C03666">
              <w:rPr>
                <w:rFonts w:cs="Times New Roman"/>
                <w:b/>
                <w:kern w:val="32"/>
                <w:szCs w:val="24"/>
              </w:rPr>
              <w:t>ormonelle kontraceptiva af kombinationstypen</w:t>
            </w:r>
            <w:r>
              <w:rPr>
                <w:b/>
              </w:rPr>
              <w:t xml:space="preserve">, der indeholder gestagen </w:t>
            </w:r>
            <w:r w:rsidR="00583436" w:rsidRPr="00396EB7">
              <w:rPr>
                <w:b/>
              </w:rPr>
              <w:t>(</w:t>
            </w:r>
            <w:r>
              <w:rPr>
                <w:b/>
              </w:rPr>
              <w:t>i kombination</w:t>
            </w:r>
            <w:r w:rsidR="00396EB7">
              <w:rPr>
                <w:b/>
              </w:rPr>
              <w:t xml:space="preserve"> </w:t>
            </w:r>
            <w:r w:rsidR="00396EB7" w:rsidRPr="00396EB7">
              <w:rPr>
                <w:b/>
              </w:rPr>
              <w:t>med</w:t>
            </w:r>
            <w:r w:rsidR="00583436" w:rsidRPr="00396EB7">
              <w:rPr>
                <w:b/>
              </w:rPr>
              <w:t xml:space="preserve"> </w:t>
            </w:r>
            <w:proofErr w:type="spellStart"/>
            <w:r w:rsidR="00583436" w:rsidRPr="00396EB7">
              <w:rPr>
                <w:b/>
              </w:rPr>
              <w:t>ethinylestradiol</w:t>
            </w:r>
            <w:proofErr w:type="spellEnd"/>
            <w:r w:rsidR="00583436" w:rsidRPr="00396EB7">
              <w:rPr>
                <w:b/>
              </w:rPr>
              <w:t xml:space="preserve">, </w:t>
            </w:r>
            <w:r w:rsidR="00396EB7">
              <w:rPr>
                <w:b/>
              </w:rPr>
              <w:t xml:space="preserve">med mindre andet er </w:t>
            </w:r>
            <w:r w:rsidR="00494D21">
              <w:rPr>
                <w:b/>
              </w:rPr>
              <w:t>angivet</w:t>
            </w:r>
            <w:r w:rsidR="00583436" w:rsidRPr="00396EB7">
              <w:rPr>
                <w:b/>
              </w:rPr>
              <w:t>)</w:t>
            </w:r>
          </w:p>
        </w:tc>
        <w:tc>
          <w:tcPr>
            <w:tcW w:w="1611" w:type="dxa"/>
            <w:shd w:val="clear" w:color="auto" w:fill="auto"/>
          </w:tcPr>
          <w:p w:rsidR="00583436" w:rsidRPr="00FE7C85" w:rsidRDefault="00494D21" w:rsidP="00396EB7">
            <w:pPr>
              <w:autoSpaceDE w:val="0"/>
              <w:autoSpaceDN w:val="0"/>
              <w:adjustRightInd w:val="0"/>
              <w:spacing w:before="120" w:line="280" w:lineRule="atLeast"/>
              <w:jc w:val="center"/>
              <w:rPr>
                <w:b/>
              </w:rPr>
            </w:pPr>
            <w:r>
              <w:rPr>
                <w:b/>
              </w:rPr>
              <w:t>Relativ</w:t>
            </w:r>
            <w:r w:rsidR="00396EB7">
              <w:rPr>
                <w:b/>
              </w:rPr>
              <w:t xml:space="preserve"> risiko </w:t>
            </w:r>
            <w:r w:rsidR="00583436" w:rsidRPr="00FE7C85">
              <w:rPr>
                <w:b/>
              </w:rPr>
              <w:t>v</w:t>
            </w:r>
            <w:r w:rsidR="00396EB7">
              <w:rPr>
                <w:b/>
              </w:rPr>
              <w:t>er</w:t>
            </w:r>
            <w:r w:rsidR="00583436" w:rsidRPr="00FE7C85">
              <w:rPr>
                <w:b/>
              </w:rPr>
              <w:t>s</w:t>
            </w:r>
            <w:r w:rsidR="00396EB7">
              <w:rPr>
                <w:b/>
              </w:rPr>
              <w:t>us</w:t>
            </w:r>
            <w:r w:rsidR="00583436" w:rsidRPr="00FE7C85">
              <w:rPr>
                <w:b/>
              </w:rPr>
              <w:t xml:space="preserve"> </w:t>
            </w:r>
            <w:proofErr w:type="spellStart"/>
            <w:r w:rsidR="00396EB7">
              <w:rPr>
                <w:b/>
              </w:rPr>
              <w:t>l</w:t>
            </w:r>
            <w:r w:rsidR="00583436" w:rsidRPr="00FE7C85">
              <w:rPr>
                <w:b/>
              </w:rPr>
              <w:t>evonorgestrel</w:t>
            </w:r>
            <w:proofErr w:type="spellEnd"/>
          </w:p>
        </w:tc>
        <w:tc>
          <w:tcPr>
            <w:tcW w:w="3240" w:type="dxa"/>
            <w:shd w:val="clear" w:color="auto" w:fill="auto"/>
          </w:tcPr>
          <w:p w:rsidR="00583436" w:rsidRPr="00396EB7" w:rsidRDefault="00494D21" w:rsidP="006A730B">
            <w:pPr>
              <w:autoSpaceDE w:val="0"/>
              <w:autoSpaceDN w:val="0"/>
              <w:adjustRightInd w:val="0"/>
              <w:spacing w:before="120" w:line="280" w:lineRule="atLeast"/>
              <w:jc w:val="center"/>
              <w:rPr>
                <w:b/>
              </w:rPr>
            </w:pPr>
            <w:r>
              <w:rPr>
                <w:b/>
              </w:rPr>
              <w:t xml:space="preserve">Anslået </w:t>
            </w:r>
            <w:proofErr w:type="spellStart"/>
            <w:r>
              <w:rPr>
                <w:b/>
              </w:rPr>
              <w:t>incidens</w:t>
            </w:r>
            <w:proofErr w:type="spellEnd"/>
            <w:r w:rsidR="00396EB7">
              <w:rPr>
                <w:b/>
              </w:rPr>
              <w:t xml:space="preserve"> </w:t>
            </w:r>
            <w:r w:rsidR="00583436" w:rsidRPr="00396EB7">
              <w:rPr>
                <w:b/>
              </w:rPr>
              <w:t>(p</w:t>
            </w:r>
            <w:r w:rsidR="00396EB7">
              <w:rPr>
                <w:b/>
              </w:rPr>
              <w:t>r</w:t>
            </w:r>
            <w:r w:rsidR="006A730B">
              <w:rPr>
                <w:b/>
              </w:rPr>
              <w:t>.</w:t>
            </w:r>
            <w:r w:rsidR="00583436" w:rsidRPr="00396EB7">
              <w:rPr>
                <w:b/>
              </w:rPr>
              <w:t xml:space="preserve"> 10</w:t>
            </w:r>
            <w:r w:rsidR="00396EB7" w:rsidRPr="00396EB7">
              <w:rPr>
                <w:b/>
              </w:rPr>
              <w:t>.</w:t>
            </w:r>
            <w:r w:rsidR="00583436" w:rsidRPr="00396EB7">
              <w:rPr>
                <w:b/>
              </w:rPr>
              <w:t xml:space="preserve">000 </w:t>
            </w:r>
            <w:r w:rsidR="00396EB7" w:rsidRPr="00396EB7">
              <w:rPr>
                <w:b/>
              </w:rPr>
              <w:t>kvinder</w:t>
            </w:r>
            <w:r w:rsidR="00583436" w:rsidRPr="00396EB7">
              <w:rPr>
                <w:b/>
              </w:rPr>
              <w:t xml:space="preserve"> p</w:t>
            </w:r>
            <w:r w:rsidR="00396EB7">
              <w:rPr>
                <w:b/>
              </w:rPr>
              <w:t>r</w:t>
            </w:r>
            <w:r w:rsidR="006A730B">
              <w:rPr>
                <w:b/>
              </w:rPr>
              <w:t>.</w:t>
            </w:r>
            <w:r w:rsidR="00396EB7">
              <w:rPr>
                <w:b/>
              </w:rPr>
              <w:t xml:space="preserve"> </w:t>
            </w:r>
            <w:r w:rsidR="00396EB7" w:rsidRPr="00396EB7">
              <w:rPr>
                <w:b/>
              </w:rPr>
              <w:t>år</w:t>
            </w:r>
            <w:r w:rsidR="00396EB7">
              <w:rPr>
                <w:b/>
              </w:rPr>
              <w:t>)</w:t>
            </w:r>
          </w:p>
        </w:tc>
      </w:tr>
      <w:tr w:rsidR="00583436" w:rsidRPr="00FE7C85" w:rsidTr="00154A7C">
        <w:tc>
          <w:tcPr>
            <w:tcW w:w="4077" w:type="dxa"/>
            <w:shd w:val="clear" w:color="auto" w:fill="auto"/>
          </w:tcPr>
          <w:p w:rsidR="00583436" w:rsidRPr="00FE7C85" w:rsidRDefault="00791608" w:rsidP="00745452">
            <w:pPr>
              <w:autoSpaceDE w:val="0"/>
              <w:autoSpaceDN w:val="0"/>
              <w:adjustRightInd w:val="0"/>
              <w:spacing w:before="120" w:line="280" w:lineRule="atLeast"/>
              <w:jc w:val="center"/>
            </w:pPr>
            <w:r>
              <w:t>Ikke</w:t>
            </w:r>
            <w:r w:rsidR="00745452">
              <w:t xml:space="preserve"> </w:t>
            </w:r>
            <w:r>
              <w:t xml:space="preserve">gravid – </w:t>
            </w:r>
            <w:r w:rsidR="006A730B">
              <w:t xml:space="preserve">ingen brug af </w:t>
            </w:r>
            <w:r w:rsidR="00745452">
              <w:t>hormonelle kontraceptiva af kombinationstypen</w:t>
            </w:r>
          </w:p>
        </w:tc>
        <w:tc>
          <w:tcPr>
            <w:tcW w:w="1611" w:type="dxa"/>
            <w:shd w:val="clear" w:color="auto" w:fill="auto"/>
          </w:tcPr>
          <w:p w:rsidR="00583436" w:rsidRPr="00FE7C85" w:rsidRDefault="00583436" w:rsidP="00791608">
            <w:pPr>
              <w:autoSpaceDE w:val="0"/>
              <w:autoSpaceDN w:val="0"/>
              <w:adjustRightInd w:val="0"/>
              <w:spacing w:before="120" w:line="280" w:lineRule="atLeast"/>
              <w:jc w:val="center"/>
            </w:pPr>
            <w:r w:rsidRPr="00FE7C85">
              <w:t>-</w:t>
            </w:r>
          </w:p>
        </w:tc>
        <w:tc>
          <w:tcPr>
            <w:tcW w:w="3240" w:type="dxa"/>
            <w:shd w:val="clear" w:color="auto" w:fill="auto"/>
          </w:tcPr>
          <w:p w:rsidR="00583436" w:rsidRPr="00FE7C85" w:rsidRDefault="00583436" w:rsidP="00791608">
            <w:pPr>
              <w:autoSpaceDE w:val="0"/>
              <w:autoSpaceDN w:val="0"/>
              <w:adjustRightInd w:val="0"/>
              <w:spacing w:before="120" w:line="280" w:lineRule="atLeast"/>
              <w:jc w:val="center"/>
            </w:pPr>
            <w:r>
              <w:t>2</w:t>
            </w:r>
          </w:p>
        </w:tc>
      </w:tr>
      <w:tr w:rsidR="00583436" w:rsidRPr="00FE7C85" w:rsidTr="00154A7C">
        <w:tc>
          <w:tcPr>
            <w:tcW w:w="4077" w:type="dxa"/>
            <w:shd w:val="clear" w:color="auto" w:fill="auto"/>
          </w:tcPr>
          <w:p w:rsidR="00583436" w:rsidRPr="00FE7C85" w:rsidRDefault="0015418F" w:rsidP="00791608">
            <w:pPr>
              <w:autoSpaceDE w:val="0"/>
              <w:autoSpaceDN w:val="0"/>
              <w:adjustRightInd w:val="0"/>
              <w:spacing w:before="120" w:line="280" w:lineRule="atLeast"/>
              <w:jc w:val="center"/>
            </w:pPr>
            <w:proofErr w:type="spellStart"/>
            <w:r>
              <w:t>l</w:t>
            </w:r>
            <w:r w:rsidR="00583436" w:rsidRPr="00FE7C85">
              <w:t>evonorgestrel</w:t>
            </w:r>
            <w:proofErr w:type="spellEnd"/>
          </w:p>
        </w:tc>
        <w:tc>
          <w:tcPr>
            <w:tcW w:w="1611" w:type="dxa"/>
            <w:shd w:val="clear" w:color="auto" w:fill="auto"/>
          </w:tcPr>
          <w:p w:rsidR="00583436" w:rsidRPr="00FE7C85" w:rsidRDefault="00D41CCC" w:rsidP="00791608">
            <w:pPr>
              <w:autoSpaceDE w:val="0"/>
              <w:autoSpaceDN w:val="0"/>
              <w:adjustRightInd w:val="0"/>
              <w:spacing w:before="120" w:line="280" w:lineRule="atLeast"/>
              <w:jc w:val="center"/>
            </w:pPr>
            <w:proofErr w:type="spellStart"/>
            <w:r w:rsidRPr="00D41CCC">
              <w:t>Ref</w:t>
            </w:r>
            <w:proofErr w:type="spellEnd"/>
          </w:p>
        </w:tc>
        <w:tc>
          <w:tcPr>
            <w:tcW w:w="3240" w:type="dxa"/>
            <w:shd w:val="clear" w:color="auto" w:fill="auto"/>
          </w:tcPr>
          <w:p w:rsidR="00583436" w:rsidRPr="00FE7C85" w:rsidRDefault="00583436" w:rsidP="00791608">
            <w:pPr>
              <w:autoSpaceDE w:val="0"/>
              <w:autoSpaceDN w:val="0"/>
              <w:adjustRightInd w:val="0"/>
              <w:spacing w:before="120" w:line="280" w:lineRule="atLeast"/>
              <w:jc w:val="center"/>
            </w:pPr>
            <w:r>
              <w:t>5-7</w:t>
            </w:r>
          </w:p>
        </w:tc>
      </w:tr>
      <w:tr w:rsidR="00583436" w:rsidRPr="00FE7C85" w:rsidTr="00154A7C">
        <w:tc>
          <w:tcPr>
            <w:tcW w:w="4077" w:type="dxa"/>
            <w:shd w:val="clear" w:color="auto" w:fill="auto"/>
          </w:tcPr>
          <w:p w:rsidR="00583436" w:rsidRPr="00FE7C85" w:rsidRDefault="00683AF5" w:rsidP="00683AF5">
            <w:pPr>
              <w:autoSpaceDE w:val="0"/>
              <w:autoSpaceDN w:val="0"/>
              <w:adjustRightInd w:val="0"/>
              <w:spacing w:before="120" w:line="280" w:lineRule="atLeast"/>
              <w:jc w:val="center"/>
            </w:pPr>
            <w:proofErr w:type="spellStart"/>
            <w:r>
              <w:t>n</w:t>
            </w:r>
            <w:r w:rsidR="00286ED7">
              <w:t>orgestimat</w:t>
            </w:r>
            <w:proofErr w:type="spellEnd"/>
            <w:r w:rsidR="00583436" w:rsidRPr="00FE7C85" w:rsidDel="00EF0759">
              <w:t xml:space="preserve"> </w:t>
            </w:r>
            <w:r w:rsidR="00583436" w:rsidRPr="00FE7C85">
              <w:t xml:space="preserve">/ </w:t>
            </w:r>
            <w:proofErr w:type="spellStart"/>
            <w:r>
              <w:t>n</w:t>
            </w:r>
            <w:r w:rsidR="00583436" w:rsidRPr="00FE7C85">
              <w:t>orethisteron</w:t>
            </w:r>
            <w:proofErr w:type="spellEnd"/>
          </w:p>
        </w:tc>
        <w:tc>
          <w:tcPr>
            <w:tcW w:w="1611" w:type="dxa"/>
            <w:shd w:val="clear" w:color="auto" w:fill="auto"/>
          </w:tcPr>
          <w:p w:rsidR="00583436" w:rsidRPr="00FE7C85" w:rsidRDefault="00583436" w:rsidP="00396EB7">
            <w:pPr>
              <w:autoSpaceDE w:val="0"/>
              <w:autoSpaceDN w:val="0"/>
              <w:adjustRightInd w:val="0"/>
              <w:spacing w:before="120" w:line="280" w:lineRule="atLeast"/>
              <w:jc w:val="center"/>
            </w:pPr>
            <w:r w:rsidRPr="00FE7C85">
              <w:t>1</w:t>
            </w:r>
            <w:r w:rsidR="00396EB7">
              <w:t>,</w:t>
            </w:r>
            <w:r w:rsidRPr="00FE7C85">
              <w:t>0</w:t>
            </w:r>
          </w:p>
        </w:tc>
        <w:tc>
          <w:tcPr>
            <w:tcW w:w="3240" w:type="dxa"/>
            <w:shd w:val="clear" w:color="auto" w:fill="auto"/>
          </w:tcPr>
          <w:p w:rsidR="00583436" w:rsidRPr="00FE7C85" w:rsidRDefault="00583436" w:rsidP="00791608">
            <w:pPr>
              <w:autoSpaceDE w:val="0"/>
              <w:autoSpaceDN w:val="0"/>
              <w:adjustRightInd w:val="0"/>
              <w:spacing w:before="120" w:line="280" w:lineRule="atLeast"/>
              <w:jc w:val="center"/>
            </w:pPr>
            <w:r>
              <w:t>5-7</w:t>
            </w:r>
          </w:p>
        </w:tc>
      </w:tr>
      <w:tr w:rsidR="00583436" w:rsidRPr="00FE7C85" w:rsidTr="00154A7C">
        <w:tc>
          <w:tcPr>
            <w:tcW w:w="4077" w:type="dxa"/>
            <w:shd w:val="clear" w:color="auto" w:fill="auto"/>
          </w:tcPr>
          <w:p w:rsidR="00583436" w:rsidRPr="00FE7C85" w:rsidRDefault="00683AF5" w:rsidP="00683AF5">
            <w:pPr>
              <w:autoSpaceDE w:val="0"/>
              <w:autoSpaceDN w:val="0"/>
              <w:adjustRightInd w:val="0"/>
              <w:spacing w:before="120" w:line="280" w:lineRule="atLeast"/>
              <w:jc w:val="center"/>
            </w:pPr>
            <w:proofErr w:type="spellStart"/>
            <w:r>
              <w:t>g</w:t>
            </w:r>
            <w:r w:rsidR="00286ED7">
              <w:t>estoden</w:t>
            </w:r>
            <w:proofErr w:type="spellEnd"/>
            <w:r w:rsidR="00583436" w:rsidRPr="00FE7C85" w:rsidDel="00EF0759">
              <w:t xml:space="preserve"> </w:t>
            </w:r>
            <w:r w:rsidR="00583436" w:rsidRPr="00FE7C85">
              <w:t>/</w:t>
            </w:r>
            <w:r w:rsidR="00583436">
              <w:t xml:space="preserve"> </w:t>
            </w:r>
            <w:proofErr w:type="spellStart"/>
            <w:r>
              <w:t>d</w:t>
            </w:r>
            <w:r w:rsidR="00583436" w:rsidRPr="00FE7C85">
              <w:t>esogestrel</w:t>
            </w:r>
            <w:proofErr w:type="spellEnd"/>
            <w:r w:rsidR="00583436" w:rsidRPr="00FE7C85" w:rsidDel="00EF0759">
              <w:t xml:space="preserve"> </w:t>
            </w:r>
            <w:r w:rsidR="00583436" w:rsidRPr="00FE7C85">
              <w:t>/</w:t>
            </w:r>
            <w:r w:rsidR="00583436">
              <w:t xml:space="preserve"> </w:t>
            </w:r>
            <w:proofErr w:type="spellStart"/>
            <w:r>
              <w:t>d</w:t>
            </w:r>
            <w:r w:rsidR="00583436" w:rsidRPr="00FE7C85">
              <w:t>rospirenon</w:t>
            </w:r>
            <w:proofErr w:type="spellEnd"/>
          </w:p>
        </w:tc>
        <w:tc>
          <w:tcPr>
            <w:tcW w:w="1611" w:type="dxa"/>
            <w:shd w:val="clear" w:color="auto" w:fill="auto"/>
          </w:tcPr>
          <w:p w:rsidR="00583436" w:rsidRPr="00FE7C85" w:rsidRDefault="00583436" w:rsidP="00396EB7">
            <w:pPr>
              <w:autoSpaceDE w:val="0"/>
              <w:autoSpaceDN w:val="0"/>
              <w:adjustRightInd w:val="0"/>
              <w:spacing w:before="120" w:line="280" w:lineRule="atLeast"/>
              <w:jc w:val="center"/>
            </w:pPr>
            <w:r w:rsidRPr="00FE7C85">
              <w:t>1</w:t>
            </w:r>
            <w:r w:rsidR="00396EB7">
              <w:t>,</w:t>
            </w:r>
            <w:r w:rsidRPr="00FE7C85">
              <w:t>5-2</w:t>
            </w:r>
            <w:r w:rsidR="00396EB7">
              <w:t>,</w:t>
            </w:r>
            <w:r w:rsidRPr="00FE7C85">
              <w:t>0</w:t>
            </w:r>
          </w:p>
        </w:tc>
        <w:tc>
          <w:tcPr>
            <w:tcW w:w="3240" w:type="dxa"/>
            <w:shd w:val="clear" w:color="auto" w:fill="auto"/>
          </w:tcPr>
          <w:p w:rsidR="00583436" w:rsidRPr="00FE7C85" w:rsidRDefault="00583436" w:rsidP="00791608">
            <w:pPr>
              <w:autoSpaceDE w:val="0"/>
              <w:autoSpaceDN w:val="0"/>
              <w:adjustRightInd w:val="0"/>
              <w:spacing w:before="120" w:line="280" w:lineRule="atLeast"/>
              <w:jc w:val="center"/>
            </w:pPr>
            <w:r w:rsidRPr="00FE7C85">
              <w:t>9-12</w:t>
            </w:r>
          </w:p>
        </w:tc>
      </w:tr>
      <w:tr w:rsidR="00583436" w:rsidRPr="00FE7C85" w:rsidTr="00154A7C">
        <w:tc>
          <w:tcPr>
            <w:tcW w:w="4077" w:type="dxa"/>
            <w:shd w:val="clear" w:color="auto" w:fill="auto"/>
          </w:tcPr>
          <w:p w:rsidR="00583436" w:rsidRPr="00FE7C85" w:rsidRDefault="00683AF5" w:rsidP="00683AF5">
            <w:pPr>
              <w:autoSpaceDE w:val="0"/>
              <w:autoSpaceDN w:val="0"/>
              <w:adjustRightInd w:val="0"/>
              <w:spacing w:before="120" w:line="280" w:lineRule="atLeast"/>
              <w:jc w:val="center"/>
            </w:pPr>
            <w:proofErr w:type="spellStart"/>
            <w:r>
              <w:t>e</w:t>
            </w:r>
            <w:r w:rsidR="00583436" w:rsidRPr="00FE7C85">
              <w:t>tonogestrel</w:t>
            </w:r>
            <w:proofErr w:type="spellEnd"/>
            <w:r w:rsidR="00583436" w:rsidRPr="00FE7C85" w:rsidDel="00EF0759">
              <w:t xml:space="preserve"> </w:t>
            </w:r>
            <w:r w:rsidR="00583436" w:rsidRPr="00FE7C85">
              <w:t>/</w:t>
            </w:r>
            <w:r w:rsidR="00583436">
              <w:t xml:space="preserve"> </w:t>
            </w:r>
            <w:proofErr w:type="spellStart"/>
            <w:r>
              <w:t>n</w:t>
            </w:r>
            <w:r w:rsidR="00583436" w:rsidRPr="00FE7C85">
              <w:t>orelgestromin</w:t>
            </w:r>
            <w:proofErr w:type="spellEnd"/>
          </w:p>
        </w:tc>
        <w:tc>
          <w:tcPr>
            <w:tcW w:w="1611" w:type="dxa"/>
            <w:shd w:val="clear" w:color="auto" w:fill="auto"/>
          </w:tcPr>
          <w:p w:rsidR="00583436" w:rsidRPr="00FE7C85" w:rsidRDefault="00583436" w:rsidP="00396EB7">
            <w:pPr>
              <w:autoSpaceDE w:val="0"/>
              <w:autoSpaceDN w:val="0"/>
              <w:adjustRightInd w:val="0"/>
              <w:spacing w:before="120" w:line="280" w:lineRule="atLeast"/>
              <w:jc w:val="center"/>
            </w:pPr>
            <w:r w:rsidRPr="00FE7C85">
              <w:t>1</w:t>
            </w:r>
            <w:r w:rsidR="00396EB7">
              <w:t>,</w:t>
            </w:r>
            <w:r w:rsidRPr="00FE7C85">
              <w:t>0-2</w:t>
            </w:r>
            <w:r w:rsidR="00396EB7">
              <w:t>,</w:t>
            </w:r>
            <w:r w:rsidRPr="00FE7C85">
              <w:t>0</w:t>
            </w:r>
          </w:p>
        </w:tc>
        <w:tc>
          <w:tcPr>
            <w:tcW w:w="3240" w:type="dxa"/>
            <w:shd w:val="clear" w:color="auto" w:fill="auto"/>
          </w:tcPr>
          <w:p w:rsidR="00583436" w:rsidRPr="00FE7C85" w:rsidRDefault="00583436" w:rsidP="00791608">
            <w:pPr>
              <w:autoSpaceDE w:val="0"/>
              <w:autoSpaceDN w:val="0"/>
              <w:adjustRightInd w:val="0"/>
              <w:spacing w:before="120" w:line="280" w:lineRule="atLeast"/>
              <w:jc w:val="center"/>
            </w:pPr>
            <w:r w:rsidRPr="00FE7C85">
              <w:t>6-12</w:t>
            </w:r>
          </w:p>
        </w:tc>
      </w:tr>
      <w:tr w:rsidR="00583436" w:rsidRPr="00FE7C85" w:rsidTr="00154A7C">
        <w:trPr>
          <w:trHeight w:val="470"/>
        </w:trPr>
        <w:tc>
          <w:tcPr>
            <w:tcW w:w="4077" w:type="dxa"/>
            <w:shd w:val="clear" w:color="auto" w:fill="auto"/>
          </w:tcPr>
          <w:p w:rsidR="00583436" w:rsidRPr="00FE7C85" w:rsidRDefault="00683AF5" w:rsidP="00683AF5">
            <w:pPr>
              <w:autoSpaceDE w:val="0"/>
              <w:autoSpaceDN w:val="0"/>
              <w:adjustRightInd w:val="0"/>
              <w:spacing w:before="120" w:line="280" w:lineRule="atLeast"/>
              <w:jc w:val="center"/>
              <w:rPr>
                <w:lang w:val="it-IT"/>
              </w:rPr>
            </w:pPr>
            <w:r>
              <w:rPr>
                <w:lang w:val="it-IT"/>
              </w:rPr>
              <w:t>c</w:t>
            </w:r>
            <w:r w:rsidR="00286ED7">
              <w:rPr>
                <w:lang w:val="it-IT"/>
              </w:rPr>
              <w:t>hlormadinon</w:t>
            </w:r>
            <w:r w:rsidR="00583436" w:rsidRPr="00FE7C85" w:rsidDel="00EF0759">
              <w:rPr>
                <w:lang w:val="it-IT"/>
              </w:rPr>
              <w:t xml:space="preserve"> </w:t>
            </w:r>
            <w:r w:rsidR="00286ED7">
              <w:rPr>
                <w:lang w:val="it-IT"/>
              </w:rPr>
              <w:t xml:space="preserve">/ </w:t>
            </w:r>
            <w:r>
              <w:rPr>
                <w:lang w:val="it-IT"/>
              </w:rPr>
              <w:t>d</w:t>
            </w:r>
            <w:r w:rsidR="00286ED7">
              <w:rPr>
                <w:lang w:val="it-IT"/>
              </w:rPr>
              <w:t xml:space="preserve">ienogest/ </w:t>
            </w:r>
            <w:r>
              <w:rPr>
                <w:lang w:val="it-IT"/>
              </w:rPr>
              <w:t>n</w:t>
            </w:r>
            <w:r w:rsidR="00286ED7">
              <w:rPr>
                <w:lang w:val="it-IT"/>
              </w:rPr>
              <w:t>omegestrel acetat</w:t>
            </w:r>
            <w:r w:rsidR="00583436" w:rsidRPr="00FE7C85">
              <w:rPr>
                <w:lang w:val="it-IT"/>
              </w:rPr>
              <w:t xml:space="preserve"> (E2)</w:t>
            </w:r>
          </w:p>
        </w:tc>
        <w:tc>
          <w:tcPr>
            <w:tcW w:w="1611" w:type="dxa"/>
            <w:shd w:val="clear" w:color="auto" w:fill="auto"/>
          </w:tcPr>
          <w:p w:rsidR="00583436" w:rsidRPr="00FE7C85" w:rsidRDefault="00396EB7" w:rsidP="00E21493">
            <w:pPr>
              <w:autoSpaceDE w:val="0"/>
              <w:autoSpaceDN w:val="0"/>
              <w:adjustRightInd w:val="0"/>
              <w:spacing w:before="120" w:line="280" w:lineRule="atLeast"/>
              <w:jc w:val="center"/>
            </w:pPr>
            <w:r>
              <w:t xml:space="preserve">Mangler </w:t>
            </w:r>
            <w:r w:rsidR="00E21493">
              <w:t>tilstrækkelig data</w:t>
            </w:r>
            <w:r w:rsidRPr="00396EB7">
              <w:rPr>
                <w:rFonts w:ascii="Times New Roman" w:hAnsi="Times New Roman"/>
                <w:vertAlign w:val="superscript"/>
              </w:rPr>
              <w:t>1</w:t>
            </w:r>
          </w:p>
        </w:tc>
        <w:tc>
          <w:tcPr>
            <w:tcW w:w="3240" w:type="dxa"/>
            <w:shd w:val="clear" w:color="auto" w:fill="auto"/>
          </w:tcPr>
          <w:p w:rsidR="00583436" w:rsidRPr="00FE7C85" w:rsidRDefault="00396EB7" w:rsidP="00E21493">
            <w:pPr>
              <w:autoSpaceDE w:val="0"/>
              <w:autoSpaceDN w:val="0"/>
              <w:adjustRightInd w:val="0"/>
              <w:spacing w:before="120" w:line="280" w:lineRule="atLeast"/>
              <w:jc w:val="center"/>
            </w:pPr>
            <w:r>
              <w:t>Mangler</w:t>
            </w:r>
            <w:r w:rsidR="00E21493">
              <w:t xml:space="preserve"> tilstrækkelig</w:t>
            </w:r>
            <w:r w:rsidR="00F17493">
              <w:t xml:space="preserve"> </w:t>
            </w:r>
            <w:r w:rsidR="00E21493">
              <w:t>data</w:t>
            </w:r>
            <w:r w:rsidRPr="00396EB7">
              <w:rPr>
                <w:rFonts w:ascii="Times New Roman" w:hAnsi="Times New Roman"/>
                <w:vertAlign w:val="superscript"/>
              </w:rPr>
              <w:t>1</w:t>
            </w:r>
          </w:p>
        </w:tc>
      </w:tr>
    </w:tbl>
    <w:p w:rsidR="00583436" w:rsidRPr="00583436" w:rsidRDefault="00583436" w:rsidP="00583436">
      <w:pPr>
        <w:spacing w:line="240" w:lineRule="atLeast"/>
        <w:rPr>
          <w:sz w:val="18"/>
          <w:szCs w:val="18"/>
          <w:lang w:val="en-US"/>
        </w:rPr>
      </w:pPr>
      <w:r w:rsidRPr="00583436">
        <w:rPr>
          <w:sz w:val="18"/>
          <w:szCs w:val="18"/>
          <w:lang w:val="en-US"/>
        </w:rPr>
        <w:t xml:space="preserve">E2 – </w:t>
      </w:r>
      <w:proofErr w:type="spellStart"/>
      <w:r w:rsidRPr="00583436">
        <w:rPr>
          <w:sz w:val="18"/>
          <w:szCs w:val="18"/>
          <w:lang w:val="en-US"/>
        </w:rPr>
        <w:t>estradiol</w:t>
      </w:r>
      <w:proofErr w:type="spellEnd"/>
    </w:p>
    <w:p w:rsidR="00583436" w:rsidRPr="00D84979" w:rsidRDefault="00583436" w:rsidP="00583436">
      <w:pPr>
        <w:pStyle w:val="BodytextAgency"/>
        <w:tabs>
          <w:tab w:val="left" w:pos="8364"/>
        </w:tabs>
        <w:ind w:right="84"/>
        <w:rPr>
          <w:rFonts w:ascii="Times New Roman" w:hAnsi="Times New Roman"/>
          <w:lang w:val="da-DK"/>
        </w:rPr>
      </w:pPr>
      <w:r w:rsidRPr="00396EB7">
        <w:rPr>
          <w:rFonts w:ascii="Times New Roman" w:hAnsi="Times New Roman"/>
          <w:vertAlign w:val="superscript"/>
          <w:lang w:val="da-DK"/>
        </w:rPr>
        <w:t>1</w:t>
      </w:r>
      <w:r w:rsidRPr="00396EB7">
        <w:rPr>
          <w:rFonts w:ascii="Times New Roman" w:hAnsi="Times New Roman"/>
          <w:lang w:val="da-DK"/>
        </w:rPr>
        <w:t xml:space="preserve"> </w:t>
      </w:r>
      <w:r w:rsidR="00396EB7" w:rsidRPr="00396EB7">
        <w:rPr>
          <w:rFonts w:ascii="Times New Roman" w:hAnsi="Times New Roman"/>
          <w:lang w:val="da-DK"/>
        </w:rPr>
        <w:t>Yderligere studier pågår</w:t>
      </w:r>
      <w:r w:rsidR="00A633B3">
        <w:rPr>
          <w:rFonts w:ascii="Times New Roman" w:hAnsi="Times New Roman"/>
          <w:lang w:val="da-DK"/>
        </w:rPr>
        <w:t xml:space="preserve"> </w:t>
      </w:r>
      <w:r w:rsidR="00396EB7" w:rsidRPr="00396EB7">
        <w:rPr>
          <w:rFonts w:ascii="Times New Roman" w:hAnsi="Times New Roman"/>
          <w:lang w:val="da-DK"/>
        </w:rPr>
        <w:t>eller er planlagt</w:t>
      </w:r>
      <w:r w:rsidR="00A633B3">
        <w:rPr>
          <w:rFonts w:ascii="Times New Roman" w:hAnsi="Times New Roman"/>
          <w:lang w:val="da-DK"/>
        </w:rPr>
        <w:t xml:space="preserve"> med det formål </w:t>
      </w:r>
      <w:r w:rsidR="00396EB7" w:rsidRPr="00396EB7">
        <w:rPr>
          <w:rFonts w:ascii="Times New Roman" w:hAnsi="Times New Roman"/>
          <w:lang w:val="da-DK"/>
        </w:rPr>
        <w:t xml:space="preserve">at indsamle tilstrækkelig data </w:t>
      </w:r>
      <w:r w:rsidR="00A633B3">
        <w:rPr>
          <w:rFonts w:ascii="Times New Roman" w:hAnsi="Times New Roman"/>
          <w:lang w:val="da-DK"/>
        </w:rPr>
        <w:t>til</w:t>
      </w:r>
      <w:r w:rsidR="00396EB7" w:rsidRPr="00396EB7">
        <w:rPr>
          <w:rFonts w:ascii="Times New Roman" w:hAnsi="Times New Roman"/>
          <w:lang w:val="da-DK"/>
        </w:rPr>
        <w:t xml:space="preserve"> at </w:t>
      </w:r>
      <w:r w:rsidR="00A633B3">
        <w:rPr>
          <w:rFonts w:ascii="Times New Roman" w:hAnsi="Times New Roman"/>
          <w:lang w:val="da-DK"/>
        </w:rPr>
        <w:t xml:space="preserve">kunne </w:t>
      </w:r>
      <w:r w:rsidR="00396EB7" w:rsidRPr="00396EB7">
        <w:rPr>
          <w:rFonts w:ascii="Times New Roman" w:hAnsi="Times New Roman"/>
          <w:lang w:val="da-DK"/>
        </w:rPr>
        <w:t xml:space="preserve">vurdere risikoen for disse præparater. </w:t>
      </w:r>
    </w:p>
    <w:p w:rsidR="00396EB7" w:rsidRPr="00D84979" w:rsidRDefault="00396EB7" w:rsidP="0066746C">
      <w:pPr>
        <w:spacing w:before="120" w:after="0" w:line="240" w:lineRule="auto"/>
      </w:pPr>
    </w:p>
    <w:p w:rsidR="00583436" w:rsidRDefault="00396EB7" w:rsidP="0066746C">
      <w:pPr>
        <w:spacing w:before="120" w:after="0" w:line="240" w:lineRule="auto"/>
      </w:pPr>
      <w:r w:rsidRPr="009661D5">
        <w:lastRenderedPageBreak/>
        <w:t xml:space="preserve">Ordinerende læger bør </w:t>
      </w:r>
      <w:r w:rsidR="009661D5" w:rsidRPr="009661D5">
        <w:t>kende de gældende produktresum</w:t>
      </w:r>
      <w:r w:rsidR="009661D5">
        <w:t xml:space="preserve">éer og kliniske vejledninger, der foreligger, for at kunne vurdere hvilken præventionstype, der egner sig bedst til den enkelte kvinde. Risikoen for VTE er størst i løbet af det første år, </w:t>
      </w:r>
      <w:r w:rsidR="00E0505F">
        <w:t>hvor kvinden anvender</w:t>
      </w:r>
      <w:r w:rsidR="009661D5">
        <w:t xml:space="preserve"> </w:t>
      </w:r>
      <w:r w:rsidR="00933BD1">
        <w:t xml:space="preserve">et </w:t>
      </w:r>
      <w:r w:rsidR="00685B72">
        <w:rPr>
          <w:color w:val="000000"/>
        </w:rPr>
        <w:t xml:space="preserve">hormonelt </w:t>
      </w:r>
      <w:proofErr w:type="spellStart"/>
      <w:r w:rsidR="00685B72">
        <w:rPr>
          <w:color w:val="000000"/>
        </w:rPr>
        <w:t>kontraceptiva</w:t>
      </w:r>
      <w:proofErr w:type="spellEnd"/>
      <w:r w:rsidR="00685B72">
        <w:rPr>
          <w:color w:val="000000"/>
        </w:rPr>
        <w:t xml:space="preserve"> af kombinationstypen</w:t>
      </w:r>
      <w:r w:rsidR="009661D5">
        <w:t xml:space="preserve">, og </w:t>
      </w:r>
      <w:r w:rsidR="00E0505F">
        <w:t>ved</w:t>
      </w:r>
      <w:r w:rsidR="009661D5">
        <w:t xml:space="preserve"> gen</w:t>
      </w:r>
      <w:r w:rsidR="00685B72">
        <w:t>s</w:t>
      </w:r>
      <w:r w:rsidR="009661D5">
        <w:t xml:space="preserve">tart efter en pause på 4 uger eller derover. Risikoen for VTE er også </w:t>
      </w:r>
      <w:r w:rsidR="00685B72">
        <w:t>øget</w:t>
      </w:r>
      <w:r w:rsidR="009661D5">
        <w:t xml:space="preserve">, hvis man </w:t>
      </w:r>
      <w:r w:rsidR="00C25C2B">
        <w:t xml:space="preserve">i forvejen har </w:t>
      </w:r>
      <w:r w:rsidR="006D01AF">
        <w:t>underliggende</w:t>
      </w:r>
      <w:r w:rsidR="00933BD1">
        <w:t xml:space="preserve"> </w:t>
      </w:r>
      <w:r w:rsidR="00C25C2B">
        <w:t>risikofaktor</w:t>
      </w:r>
      <w:r w:rsidR="00E0505F">
        <w:t>er</w:t>
      </w:r>
      <w:r w:rsidR="00933BD1">
        <w:t>. Risikofaktore</w:t>
      </w:r>
      <w:r w:rsidR="00E0505F">
        <w:t>r</w:t>
      </w:r>
      <w:r w:rsidR="00933BD1">
        <w:t xml:space="preserve"> for VTE ændres over tid</w:t>
      </w:r>
      <w:r w:rsidR="00C60286">
        <w:t>,</w:t>
      </w:r>
      <w:r w:rsidR="00933BD1">
        <w:t xml:space="preserve"> og </w:t>
      </w:r>
      <w:r w:rsidR="00685B72">
        <w:t>den enkelte kvindes</w:t>
      </w:r>
      <w:r w:rsidR="00933BD1">
        <w:t xml:space="preserve"> risiko bør revurderes med mellemrum. For </w:t>
      </w:r>
      <w:r w:rsidR="00685B72">
        <w:t xml:space="preserve">at </w:t>
      </w:r>
      <w:r w:rsidR="00A61D2A">
        <w:t>sikre, at VTE kan diagnosticeres tidligt</w:t>
      </w:r>
      <w:r w:rsidR="00933BD1">
        <w:t xml:space="preserve">, bør alle kvinder med tegn </w:t>
      </w:r>
      <w:r w:rsidR="00FB51C8">
        <w:t>eller</w:t>
      </w:r>
      <w:r w:rsidR="00933BD1">
        <w:t xml:space="preserve"> symptomer spørges</w:t>
      </w:r>
      <w:r w:rsidR="00A61D2A">
        <w:t>,</w:t>
      </w:r>
      <w:r w:rsidR="00933BD1">
        <w:t xml:space="preserve"> om de tager medicin ”og om de tager et </w:t>
      </w:r>
      <w:r w:rsidR="00685B72">
        <w:rPr>
          <w:color w:val="000000"/>
        </w:rPr>
        <w:t>hormonelt kontraceptiva af kombinations</w:t>
      </w:r>
      <w:r w:rsidR="00685B72">
        <w:rPr>
          <w:color w:val="000000"/>
        </w:rPr>
        <w:softHyphen/>
        <w:t>typen</w:t>
      </w:r>
      <w:r w:rsidR="00933BD1">
        <w:t xml:space="preserve">”. </w:t>
      </w:r>
      <w:r w:rsidR="00E0505F">
        <w:t>Vær opmærksom på</w:t>
      </w:r>
      <w:r w:rsidR="00933BD1">
        <w:t xml:space="preserve">, at en betydelig andel af </w:t>
      </w:r>
      <w:r w:rsidR="00E0505F">
        <w:t xml:space="preserve">alle </w:t>
      </w:r>
      <w:proofErr w:type="spellStart"/>
      <w:r w:rsidR="00933BD1">
        <w:t>tromboemboli</w:t>
      </w:r>
      <w:r w:rsidR="003D4A86">
        <w:t>er</w:t>
      </w:r>
      <w:proofErr w:type="spellEnd"/>
      <w:r w:rsidR="003D4A86">
        <w:t xml:space="preserve"> </w:t>
      </w:r>
      <w:r w:rsidR="00E0505F">
        <w:t>opstår</w:t>
      </w:r>
      <w:r w:rsidR="00933BD1">
        <w:t xml:space="preserve"> </w:t>
      </w:r>
      <w:r w:rsidR="00E0505F">
        <w:t>uden tydelige</w:t>
      </w:r>
      <w:r w:rsidR="00933BD1">
        <w:t xml:space="preserve"> tegn eller symptomer.  </w:t>
      </w:r>
    </w:p>
    <w:p w:rsidR="00933BD1" w:rsidRDefault="00933BD1" w:rsidP="0066746C">
      <w:pPr>
        <w:spacing w:before="120" w:after="0" w:line="240" w:lineRule="auto"/>
      </w:pPr>
      <w:r>
        <w:t>Man ved, at risikoen for ATE (</w:t>
      </w:r>
      <w:proofErr w:type="spellStart"/>
      <w:r>
        <w:t>myokardieinfarkt</w:t>
      </w:r>
      <w:proofErr w:type="spellEnd"/>
      <w:r w:rsidR="005336BC">
        <w:t xml:space="preserve"> og</w:t>
      </w:r>
      <w:r>
        <w:t xml:space="preserve"> </w:t>
      </w:r>
      <w:proofErr w:type="spellStart"/>
      <w:r>
        <w:t>cerebrovaskulære</w:t>
      </w:r>
      <w:proofErr w:type="spellEnd"/>
      <w:r>
        <w:t xml:space="preserve"> </w:t>
      </w:r>
      <w:r w:rsidR="006747BB">
        <w:t>hændelser</w:t>
      </w:r>
      <w:r>
        <w:t xml:space="preserve">) også er øget, når man tager </w:t>
      </w:r>
      <w:r w:rsidR="00685B72">
        <w:rPr>
          <w:color w:val="000000"/>
        </w:rPr>
        <w:t>hormonelle kontraceptiva af kombinationstypen</w:t>
      </w:r>
      <w:r>
        <w:t xml:space="preserve">. Der </w:t>
      </w:r>
      <w:r w:rsidR="007B27B6">
        <w:t>foreligger</w:t>
      </w:r>
      <w:r>
        <w:t xml:space="preserve"> imidlertid ikke tilstrækkelig data til at påvise</w:t>
      </w:r>
      <w:r w:rsidR="008848C0">
        <w:t>,</w:t>
      </w:r>
      <w:r>
        <w:t xml:space="preserve"> om denne risiko varierer for de forskellige præparater.</w:t>
      </w:r>
    </w:p>
    <w:p w:rsidR="00933BD1" w:rsidRDefault="00933BD1" w:rsidP="0066746C">
      <w:pPr>
        <w:spacing w:before="120" w:after="0" w:line="240" w:lineRule="auto"/>
      </w:pPr>
      <w:r>
        <w:t xml:space="preserve">Beslutningen om valg af præparat bør ikke foregår uden </w:t>
      </w:r>
      <w:r w:rsidR="001F5AE7">
        <w:t xml:space="preserve">først </w:t>
      </w:r>
      <w:r>
        <w:t>at inddrage kvinden</w:t>
      </w:r>
      <w:r w:rsidR="00E0505F">
        <w:t xml:space="preserve">, herunder </w:t>
      </w:r>
      <w:r w:rsidR="00685B72">
        <w:t>at informere hende</w:t>
      </w:r>
      <w:r>
        <w:t xml:space="preserve"> om </w:t>
      </w:r>
      <w:proofErr w:type="spellStart"/>
      <w:r>
        <w:t>VTE-risiko</w:t>
      </w:r>
      <w:r w:rsidR="00685B72">
        <w:t>en</w:t>
      </w:r>
      <w:proofErr w:type="spellEnd"/>
      <w:r w:rsidR="00685B72">
        <w:t xml:space="preserve"> </w:t>
      </w:r>
      <w:r>
        <w:t xml:space="preserve">for de forskellige præparater, </w:t>
      </w:r>
      <w:r w:rsidR="00685B72">
        <w:t xml:space="preserve">og </w:t>
      </w:r>
      <w:r>
        <w:t xml:space="preserve">hvordan hendes nuværende risikofaktorer </w:t>
      </w:r>
      <w:r w:rsidR="001F5AE7">
        <w:t xml:space="preserve">kan </w:t>
      </w:r>
      <w:r w:rsidR="00CD4941">
        <w:t>påvirke</w:t>
      </w:r>
      <w:r>
        <w:t xml:space="preserve"> </w:t>
      </w:r>
      <w:r w:rsidR="00CD4941">
        <w:t xml:space="preserve">hendes </w:t>
      </w:r>
      <w:proofErr w:type="spellStart"/>
      <w:r w:rsidR="001F5AE7">
        <w:t>VTE-</w:t>
      </w:r>
      <w:r w:rsidR="00CD4941">
        <w:t>/</w:t>
      </w:r>
      <w:r w:rsidR="001F5AE7">
        <w:t>ATE-ris</w:t>
      </w:r>
      <w:r>
        <w:t>iko</w:t>
      </w:r>
      <w:proofErr w:type="spellEnd"/>
      <w:r>
        <w:t xml:space="preserve">. </w:t>
      </w:r>
    </w:p>
    <w:p w:rsidR="00510137" w:rsidRDefault="00F85DA0" w:rsidP="0066746C">
      <w:pPr>
        <w:spacing w:before="120" w:after="0" w:line="240" w:lineRule="auto"/>
      </w:pPr>
      <w:r w:rsidRPr="00F85DA0">
        <w:t>Der</w:t>
      </w:r>
      <w:r w:rsidR="00510137" w:rsidRPr="00F85DA0">
        <w:t xml:space="preserve"> vil </w:t>
      </w:r>
      <w:r w:rsidRPr="00F85DA0">
        <w:t xml:space="preserve">blive </w:t>
      </w:r>
      <w:r w:rsidR="00510137" w:rsidRPr="00F85DA0">
        <w:t>udarbejde</w:t>
      </w:r>
      <w:r w:rsidRPr="00F85DA0">
        <w:t>t</w:t>
      </w:r>
      <w:r w:rsidR="00510137" w:rsidRPr="00F85DA0">
        <w:t xml:space="preserve"> en tjekliste til brug ved receptudskrivning for at gøre denne samtale nemmere.</w:t>
      </w:r>
      <w:r w:rsidR="00510137">
        <w:t xml:space="preserve"> </w:t>
      </w:r>
    </w:p>
    <w:p w:rsidR="007B1689" w:rsidRDefault="00685B72" w:rsidP="007B1689">
      <w:pPr>
        <w:spacing w:before="120"/>
      </w:pPr>
      <w:r w:rsidRPr="00685B72">
        <w:t xml:space="preserve">Præparaternes </w:t>
      </w:r>
      <w:r>
        <w:t>produk</w:t>
      </w:r>
      <w:r w:rsidRPr="00685B72">
        <w:t>tinformation</w:t>
      </w:r>
      <w:r>
        <w:t>er</w:t>
      </w:r>
      <w:r w:rsidRPr="00685B72">
        <w:t xml:space="preserve"> </w:t>
      </w:r>
      <w:r w:rsidR="00C4056D" w:rsidRPr="00C4056D">
        <w:t>vil blive opdateret</w:t>
      </w:r>
      <w:r>
        <w:t>,</w:t>
      </w:r>
      <w:r w:rsidR="002F7355">
        <w:t xml:space="preserve"> </w:t>
      </w:r>
      <w:r>
        <w:t xml:space="preserve">så de afspejler </w:t>
      </w:r>
      <w:r w:rsidR="00C4056D" w:rsidRPr="00C4056D">
        <w:t xml:space="preserve">vores nuværende </w:t>
      </w:r>
      <w:r>
        <w:t>forståelse</w:t>
      </w:r>
      <w:r w:rsidR="002F7355">
        <w:t xml:space="preserve"> baseret på </w:t>
      </w:r>
      <w:r w:rsidR="00C4056D" w:rsidRPr="00C4056D">
        <w:t xml:space="preserve">den </w:t>
      </w:r>
      <w:r w:rsidR="00ED15C6">
        <w:t>foreliggende</w:t>
      </w:r>
      <w:r w:rsidR="007B1689">
        <w:t xml:space="preserve"> </w:t>
      </w:r>
      <w:r>
        <w:t>evidens</w:t>
      </w:r>
      <w:r w:rsidR="00C4056D" w:rsidRPr="00C4056D">
        <w:t xml:space="preserve"> </w:t>
      </w:r>
      <w:r>
        <w:t xml:space="preserve">og for at gøre </w:t>
      </w:r>
      <w:r w:rsidR="00C4056D" w:rsidRPr="00C4056D">
        <w:t xml:space="preserve">informationen så </w:t>
      </w:r>
      <w:r w:rsidR="007B1689">
        <w:t>klar</w:t>
      </w:r>
      <w:r w:rsidR="00C4056D" w:rsidRPr="00C4056D">
        <w:t xml:space="preserve"> som mulig.</w:t>
      </w:r>
      <w:r w:rsidR="002F7355">
        <w:t xml:space="preserve"> Vi </w:t>
      </w:r>
      <w:r w:rsidR="007B1689">
        <w:t>har</w:t>
      </w:r>
      <w:r w:rsidR="002F7355">
        <w:t xml:space="preserve"> også benytte</w:t>
      </w:r>
      <w:r w:rsidR="007B1689">
        <w:t>t</w:t>
      </w:r>
      <w:r w:rsidR="002F7355">
        <w:t xml:space="preserve"> lejligheden til at opdatere </w:t>
      </w:r>
      <w:proofErr w:type="spellStart"/>
      <w:r w:rsidR="002D0F8A">
        <w:t>VTE-</w:t>
      </w:r>
      <w:r w:rsidR="002F7355">
        <w:t>baseline</w:t>
      </w:r>
      <w:r w:rsidR="002D0F8A">
        <w:t>forekomsten</w:t>
      </w:r>
      <w:proofErr w:type="spellEnd"/>
      <w:r w:rsidR="00CE53BC">
        <w:t>,</w:t>
      </w:r>
      <w:r w:rsidR="002F7355">
        <w:t xml:space="preserve"> </w:t>
      </w:r>
      <w:r w:rsidR="00CE53BC">
        <w:t xml:space="preserve">så </w:t>
      </w:r>
      <w:r w:rsidR="007B1689">
        <w:t xml:space="preserve">den </w:t>
      </w:r>
      <w:r w:rsidR="002D0F8A">
        <w:t xml:space="preserve">er </w:t>
      </w:r>
      <w:r w:rsidR="00CE53BC">
        <w:t>tilpasse</w:t>
      </w:r>
      <w:r w:rsidR="002D0F8A">
        <w:t>t</w:t>
      </w:r>
      <w:r w:rsidR="00CE53BC">
        <w:t xml:space="preserve"> den </w:t>
      </w:r>
      <w:r w:rsidR="002D0F8A">
        <w:t>nuværende evidens</w:t>
      </w:r>
      <w:r w:rsidR="00CE53BC">
        <w:t xml:space="preserve">. </w:t>
      </w:r>
      <w:r w:rsidR="00D30F46">
        <w:t>Den</w:t>
      </w:r>
      <w:r w:rsidR="007B1689">
        <w:t xml:space="preserve"> øgede forekomst skyldes sandsynligvis en forbedret </w:t>
      </w:r>
      <w:proofErr w:type="spellStart"/>
      <w:r w:rsidR="007B1689">
        <w:t>VTE</w:t>
      </w:r>
      <w:r w:rsidR="002D0F8A">
        <w:t>-</w:t>
      </w:r>
      <w:r w:rsidR="007B1689">
        <w:t>diagnosticering</w:t>
      </w:r>
      <w:proofErr w:type="spellEnd"/>
      <w:r w:rsidR="007B1689">
        <w:t xml:space="preserve"> og </w:t>
      </w:r>
      <w:r w:rsidR="002D0F8A">
        <w:t>-</w:t>
      </w:r>
      <w:r w:rsidR="007B1689">
        <w:t xml:space="preserve">rapportering </w:t>
      </w:r>
      <w:r w:rsidR="002D0F8A">
        <w:t>samt</w:t>
      </w:r>
      <w:r w:rsidR="007B1689">
        <w:t xml:space="preserve"> en stigning i </w:t>
      </w:r>
      <w:r w:rsidR="00071E91">
        <w:t xml:space="preserve">forekomsten af </w:t>
      </w:r>
      <w:r w:rsidR="007B1689">
        <w:t>fedme over tid.</w:t>
      </w:r>
    </w:p>
    <w:p w:rsidR="003D4A86" w:rsidRPr="003D4A86" w:rsidRDefault="003D4A86" w:rsidP="003D4A86">
      <w:pPr>
        <w:spacing w:before="120"/>
        <w:rPr>
          <w:rFonts w:asciiTheme="majorHAnsi" w:hAnsiTheme="majorHAnsi"/>
          <w:b/>
        </w:rPr>
      </w:pPr>
      <w:r w:rsidRPr="003D4A86">
        <w:rPr>
          <w:rFonts w:asciiTheme="majorHAnsi" w:hAnsiTheme="majorHAnsi"/>
          <w:b/>
        </w:rPr>
        <w:t>Opfordring til indberetning</w:t>
      </w:r>
    </w:p>
    <w:p w:rsidR="003D4A86" w:rsidRDefault="003D4A86" w:rsidP="003D4A86">
      <w:pPr>
        <w:spacing w:before="120"/>
      </w:pPr>
      <w:r w:rsidRPr="003D4A86">
        <w:t xml:space="preserve">Enhver formodet bivirkning skal indberettes i overensstemmelse med det nationale rapporteringssystem til Sundhedsstyrelsen. </w:t>
      </w:r>
    </w:p>
    <w:p w:rsidR="003D4A86" w:rsidRPr="003D4A86" w:rsidRDefault="003D4A86" w:rsidP="003D4A86">
      <w:pPr>
        <w:spacing w:before="120"/>
      </w:pPr>
      <w:r w:rsidRPr="003D4A86">
        <w:t xml:space="preserve">Skema og vejledning findes på </w:t>
      </w:r>
      <w:hyperlink r:id="rId10" w:history="1">
        <w:r w:rsidRPr="003D4A86">
          <w:rPr>
            <w:rStyle w:val="Hyperlink"/>
          </w:rPr>
          <w:t>www.meldenbivirkning.dk</w:t>
        </w:r>
      </w:hyperlink>
      <w:r w:rsidRPr="003D4A86">
        <w:t>.  Alternativt kan indberetnings</w:t>
      </w:r>
      <w:r w:rsidRPr="003D4A86">
        <w:softHyphen/>
        <w:t>skema rekvireres på telefon 44 88 97 57.</w:t>
      </w:r>
      <w:r>
        <w:t xml:space="preserve"> </w:t>
      </w:r>
    </w:p>
    <w:p w:rsidR="00933BD1" w:rsidRPr="008F3CFC" w:rsidRDefault="008F3CFC" w:rsidP="007B1689">
      <w:pPr>
        <w:spacing w:before="120"/>
        <w:rPr>
          <w:rFonts w:asciiTheme="majorHAnsi" w:hAnsiTheme="majorHAnsi"/>
        </w:rPr>
      </w:pPr>
      <w:r w:rsidRPr="008F3CFC">
        <w:rPr>
          <w:rStyle w:val="hps"/>
          <w:rFonts w:asciiTheme="majorHAnsi" w:hAnsiTheme="majorHAnsi" w:cs="Arial"/>
          <w:b/>
          <w:color w:val="222222"/>
        </w:rPr>
        <w:t>Kontakt til firmaerne</w:t>
      </w:r>
      <w:r w:rsidR="007B1689" w:rsidRPr="008F3CFC">
        <w:rPr>
          <w:rFonts w:asciiTheme="majorHAnsi" w:hAnsiTheme="majorHAnsi" w:cs="Arial"/>
          <w:b/>
          <w:color w:val="222222"/>
        </w:rPr>
        <w:br/>
      </w:r>
      <w:r w:rsidRPr="008F3CFC">
        <w:rPr>
          <w:rStyle w:val="hps"/>
          <w:rFonts w:asciiTheme="majorHAnsi" w:hAnsiTheme="majorHAnsi" w:cs="Arial"/>
          <w:color w:val="222222"/>
        </w:rPr>
        <w:t>Y</w:t>
      </w:r>
      <w:r w:rsidR="007B1689" w:rsidRPr="008F3CFC">
        <w:rPr>
          <w:rStyle w:val="hps"/>
          <w:rFonts w:asciiTheme="majorHAnsi" w:hAnsiTheme="majorHAnsi" w:cs="Arial"/>
          <w:color w:val="222222"/>
        </w:rPr>
        <w:t>derligere</w:t>
      </w:r>
      <w:r w:rsidR="007B1689" w:rsidRPr="008F3CFC">
        <w:rPr>
          <w:rFonts w:asciiTheme="majorHAnsi" w:hAnsiTheme="majorHAnsi" w:cs="Arial"/>
          <w:color w:val="222222"/>
        </w:rPr>
        <w:t xml:space="preserve"> </w:t>
      </w:r>
      <w:r w:rsidR="007B1689" w:rsidRPr="008F3CFC">
        <w:rPr>
          <w:rStyle w:val="hps"/>
          <w:rFonts w:asciiTheme="majorHAnsi" w:hAnsiTheme="majorHAnsi" w:cs="Arial"/>
          <w:color w:val="222222"/>
        </w:rPr>
        <w:t xml:space="preserve">oplysninger </w:t>
      </w:r>
      <w:r w:rsidRPr="008F3CFC">
        <w:rPr>
          <w:rStyle w:val="hps"/>
          <w:rFonts w:asciiTheme="majorHAnsi" w:hAnsiTheme="majorHAnsi" w:cs="Arial"/>
          <w:color w:val="222222"/>
        </w:rPr>
        <w:t xml:space="preserve">med </w:t>
      </w:r>
      <w:r w:rsidR="00E76B8A">
        <w:rPr>
          <w:rStyle w:val="hps"/>
          <w:rFonts w:asciiTheme="majorHAnsi" w:hAnsiTheme="majorHAnsi" w:cs="Arial"/>
          <w:color w:val="222222"/>
        </w:rPr>
        <w:t xml:space="preserve">firmaernes </w:t>
      </w:r>
      <w:r w:rsidRPr="008F3CFC">
        <w:rPr>
          <w:rStyle w:val="hps"/>
          <w:rFonts w:asciiTheme="majorHAnsi" w:hAnsiTheme="majorHAnsi" w:cs="Arial"/>
          <w:color w:val="222222"/>
        </w:rPr>
        <w:t xml:space="preserve">kontaktpunkter </w:t>
      </w:r>
      <w:r w:rsidR="007B1689" w:rsidRPr="008F3CFC">
        <w:rPr>
          <w:rStyle w:val="hps"/>
          <w:rFonts w:asciiTheme="majorHAnsi" w:hAnsiTheme="majorHAnsi" w:cs="Arial"/>
          <w:color w:val="222222"/>
        </w:rPr>
        <w:t>findes i</w:t>
      </w:r>
      <w:r w:rsidR="007B1689" w:rsidRPr="008F3CFC">
        <w:rPr>
          <w:rFonts w:asciiTheme="majorHAnsi" w:hAnsiTheme="majorHAnsi" w:cs="Arial"/>
          <w:color w:val="222222"/>
        </w:rPr>
        <w:t xml:space="preserve"> </w:t>
      </w:r>
      <w:r w:rsidR="00E76B8A">
        <w:rPr>
          <w:rFonts w:asciiTheme="majorHAnsi" w:hAnsiTheme="majorHAnsi" w:cs="Arial"/>
          <w:color w:val="222222"/>
        </w:rPr>
        <w:t xml:space="preserve">de forskellige præparaters </w:t>
      </w:r>
      <w:r w:rsidR="007B1689" w:rsidRPr="008F3CFC">
        <w:rPr>
          <w:rStyle w:val="hps"/>
          <w:rFonts w:asciiTheme="majorHAnsi" w:hAnsiTheme="majorHAnsi" w:cs="Arial"/>
          <w:color w:val="222222"/>
        </w:rPr>
        <w:t>produkt</w:t>
      </w:r>
      <w:r w:rsidR="00E76B8A">
        <w:rPr>
          <w:rStyle w:val="hps"/>
          <w:rFonts w:asciiTheme="majorHAnsi" w:hAnsiTheme="majorHAnsi" w:cs="Arial"/>
          <w:color w:val="222222"/>
        </w:rPr>
        <w:t xml:space="preserve"> informationer </w:t>
      </w:r>
      <w:r w:rsidR="007B1689" w:rsidRPr="008F3CFC">
        <w:rPr>
          <w:rStyle w:val="hps"/>
          <w:rFonts w:asciiTheme="majorHAnsi" w:hAnsiTheme="majorHAnsi" w:cs="Arial"/>
          <w:color w:val="222222"/>
        </w:rPr>
        <w:t>(</w:t>
      </w:r>
      <w:r w:rsidR="007B1689" w:rsidRPr="008F3CFC">
        <w:rPr>
          <w:rFonts w:asciiTheme="majorHAnsi" w:hAnsiTheme="majorHAnsi" w:cs="Arial"/>
          <w:color w:val="222222"/>
        </w:rPr>
        <w:t>produktresumé</w:t>
      </w:r>
      <w:r w:rsidRPr="008F3CFC">
        <w:rPr>
          <w:rFonts w:asciiTheme="majorHAnsi" w:hAnsiTheme="majorHAnsi" w:cs="Arial"/>
          <w:color w:val="222222"/>
        </w:rPr>
        <w:t>er</w:t>
      </w:r>
      <w:r w:rsidR="007B1689" w:rsidRPr="008F3CFC">
        <w:rPr>
          <w:rFonts w:asciiTheme="majorHAnsi" w:hAnsiTheme="majorHAnsi" w:cs="Arial"/>
          <w:color w:val="222222"/>
        </w:rPr>
        <w:t xml:space="preserve"> </w:t>
      </w:r>
      <w:r w:rsidR="007B1689" w:rsidRPr="008F3CFC">
        <w:rPr>
          <w:rStyle w:val="hps"/>
          <w:rFonts w:asciiTheme="majorHAnsi" w:hAnsiTheme="majorHAnsi" w:cs="Arial"/>
          <w:color w:val="222222"/>
        </w:rPr>
        <w:t>og</w:t>
      </w:r>
      <w:r w:rsidR="007B1689" w:rsidRPr="008F3CFC">
        <w:rPr>
          <w:rFonts w:asciiTheme="majorHAnsi" w:hAnsiTheme="majorHAnsi" w:cs="Arial"/>
          <w:color w:val="222222"/>
        </w:rPr>
        <w:t xml:space="preserve"> </w:t>
      </w:r>
      <w:r w:rsidR="007B1689" w:rsidRPr="008F3CFC">
        <w:rPr>
          <w:rStyle w:val="hps"/>
          <w:rFonts w:asciiTheme="majorHAnsi" w:hAnsiTheme="majorHAnsi" w:cs="Arial"/>
          <w:color w:val="222222"/>
        </w:rPr>
        <w:t>indlægssed</w:t>
      </w:r>
      <w:r w:rsidRPr="008F3CFC">
        <w:rPr>
          <w:rStyle w:val="hps"/>
          <w:rFonts w:asciiTheme="majorHAnsi" w:hAnsiTheme="majorHAnsi" w:cs="Arial"/>
          <w:color w:val="222222"/>
        </w:rPr>
        <w:t>ler</w:t>
      </w:r>
      <w:r w:rsidR="007B1689" w:rsidRPr="008F3CFC">
        <w:rPr>
          <w:rStyle w:val="hps"/>
          <w:rFonts w:asciiTheme="majorHAnsi" w:hAnsiTheme="majorHAnsi" w:cs="Arial"/>
          <w:color w:val="222222"/>
        </w:rPr>
        <w:t>)</w:t>
      </w:r>
      <w:r w:rsidR="007B1689" w:rsidRPr="008F3CFC">
        <w:rPr>
          <w:rFonts w:asciiTheme="majorHAnsi" w:hAnsiTheme="majorHAnsi" w:cs="Arial"/>
          <w:color w:val="222222"/>
        </w:rPr>
        <w:t>.</w:t>
      </w:r>
    </w:p>
    <w:p w:rsidR="00933BD1" w:rsidRPr="007B1689" w:rsidRDefault="00933BD1" w:rsidP="0066746C">
      <w:pPr>
        <w:spacing w:before="120" w:after="0" w:line="240" w:lineRule="auto"/>
      </w:pPr>
    </w:p>
    <w:p w:rsidR="004D06D6" w:rsidRPr="007B1689" w:rsidRDefault="004D06D6"/>
    <w:sectPr w:rsidR="004D06D6" w:rsidRPr="007B1689" w:rsidSect="00601ACC">
      <w:head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608" w:rsidRDefault="00791608" w:rsidP="00BC532B">
      <w:pPr>
        <w:spacing w:after="0" w:line="240" w:lineRule="auto"/>
      </w:pPr>
      <w:r>
        <w:separator/>
      </w:r>
    </w:p>
  </w:endnote>
  <w:endnote w:type="continuationSeparator" w:id="0">
    <w:p w:rsidR="00791608" w:rsidRDefault="00791608" w:rsidP="00BC5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608" w:rsidRDefault="00791608" w:rsidP="00BC532B">
      <w:pPr>
        <w:spacing w:after="0" w:line="240" w:lineRule="auto"/>
      </w:pPr>
      <w:r>
        <w:separator/>
      </w:r>
    </w:p>
  </w:footnote>
  <w:footnote w:type="continuationSeparator" w:id="0">
    <w:p w:rsidR="00791608" w:rsidRDefault="00791608" w:rsidP="00BC532B">
      <w:pPr>
        <w:spacing w:after="0" w:line="240" w:lineRule="auto"/>
      </w:pPr>
      <w:r>
        <w:continuationSeparator/>
      </w:r>
    </w:p>
  </w:footnote>
  <w:footnote w:id="1">
    <w:p w:rsidR="00791608" w:rsidRPr="00BC532B" w:rsidRDefault="00791608" w:rsidP="00BC532B">
      <w:pPr>
        <w:pStyle w:val="Fodnotetekst"/>
        <w:rPr>
          <w:sz w:val="18"/>
          <w:szCs w:val="18"/>
          <w:lang w:val="da-DK"/>
        </w:rPr>
      </w:pPr>
      <w:r w:rsidRPr="00700E94">
        <w:rPr>
          <w:rStyle w:val="Fodnotehenvisning"/>
          <w:sz w:val="18"/>
          <w:szCs w:val="18"/>
        </w:rPr>
        <w:footnoteRef/>
      </w:r>
      <w:r w:rsidRPr="00BC532B">
        <w:rPr>
          <w:sz w:val="18"/>
          <w:szCs w:val="18"/>
          <w:lang w:val="da-DK"/>
        </w:rPr>
        <w:t xml:space="preserve"> </w:t>
      </w:r>
      <w:r w:rsidR="00C03666" w:rsidRPr="00C03666">
        <w:rPr>
          <w:kern w:val="32"/>
          <w:sz w:val="18"/>
          <w:szCs w:val="18"/>
          <w:lang w:val="da-DK"/>
        </w:rPr>
        <w:t>Hormonelle kontraceptiva af kombinationstypen</w:t>
      </w:r>
      <w:r w:rsidR="00102373">
        <w:rPr>
          <w:kern w:val="32"/>
          <w:sz w:val="18"/>
          <w:szCs w:val="18"/>
          <w:lang w:val="da-DK"/>
        </w:rPr>
        <w:t>,</w:t>
      </w:r>
      <w:r w:rsidRPr="00BC532B">
        <w:rPr>
          <w:sz w:val="18"/>
          <w:szCs w:val="18"/>
          <w:lang w:val="da-DK"/>
        </w:rPr>
        <w:t xml:space="preserve"> der indeholder </w:t>
      </w:r>
      <w:proofErr w:type="spellStart"/>
      <w:r w:rsidRPr="00BC532B">
        <w:rPr>
          <w:sz w:val="18"/>
          <w:szCs w:val="18"/>
          <w:lang w:val="da-DK"/>
        </w:rPr>
        <w:t>ethinylestradiol</w:t>
      </w:r>
      <w:proofErr w:type="spellEnd"/>
      <w:r w:rsidRPr="00BC532B">
        <w:rPr>
          <w:sz w:val="18"/>
          <w:szCs w:val="18"/>
          <w:lang w:val="da-DK"/>
        </w:rPr>
        <w:t xml:space="preserve"> eller </w:t>
      </w:r>
      <w:proofErr w:type="spellStart"/>
      <w:r w:rsidRPr="00BC532B">
        <w:rPr>
          <w:sz w:val="18"/>
          <w:szCs w:val="18"/>
          <w:lang w:val="da-DK"/>
        </w:rPr>
        <w:t>estradiol</w:t>
      </w:r>
      <w:proofErr w:type="spellEnd"/>
      <w:r w:rsidRPr="00BC532B">
        <w:rPr>
          <w:sz w:val="18"/>
          <w:szCs w:val="18"/>
          <w:lang w:val="da-DK"/>
        </w:rPr>
        <w:t xml:space="preserve"> </w:t>
      </w:r>
      <w:r>
        <w:rPr>
          <w:sz w:val="18"/>
          <w:szCs w:val="18"/>
          <w:lang w:val="da-DK"/>
        </w:rPr>
        <w:t xml:space="preserve">i </w:t>
      </w:r>
      <w:r w:rsidR="00E03B83">
        <w:rPr>
          <w:sz w:val="18"/>
          <w:szCs w:val="18"/>
          <w:lang w:val="da-DK"/>
        </w:rPr>
        <w:t>kombination</w:t>
      </w:r>
      <w:r>
        <w:rPr>
          <w:sz w:val="18"/>
          <w:szCs w:val="18"/>
          <w:lang w:val="da-DK"/>
        </w:rPr>
        <w:t xml:space="preserve"> med</w:t>
      </w:r>
      <w:r w:rsidRPr="00BC532B">
        <w:rPr>
          <w:sz w:val="18"/>
          <w:szCs w:val="18"/>
          <w:lang w:val="da-DK"/>
        </w:rPr>
        <w:t xml:space="preserve"> </w:t>
      </w:r>
      <w:proofErr w:type="spellStart"/>
      <w:r w:rsidRPr="00BC532B">
        <w:rPr>
          <w:sz w:val="18"/>
          <w:szCs w:val="18"/>
          <w:lang w:val="da-DK"/>
        </w:rPr>
        <w:t>chlormadinon</w:t>
      </w:r>
      <w:proofErr w:type="spellEnd"/>
      <w:r w:rsidRPr="00BC532B">
        <w:rPr>
          <w:sz w:val="18"/>
          <w:szCs w:val="18"/>
          <w:lang w:val="da-DK"/>
        </w:rPr>
        <w:t xml:space="preserve">, </w:t>
      </w:r>
      <w:proofErr w:type="spellStart"/>
      <w:r w:rsidRPr="00BC532B">
        <w:rPr>
          <w:sz w:val="18"/>
          <w:szCs w:val="18"/>
          <w:lang w:val="da-DK"/>
        </w:rPr>
        <w:t>desogestrel</w:t>
      </w:r>
      <w:proofErr w:type="spellEnd"/>
      <w:r w:rsidRPr="00BC532B">
        <w:rPr>
          <w:sz w:val="18"/>
          <w:szCs w:val="18"/>
          <w:lang w:val="da-DK"/>
        </w:rPr>
        <w:t xml:space="preserve">, </w:t>
      </w:r>
      <w:proofErr w:type="spellStart"/>
      <w:r w:rsidRPr="00BC532B">
        <w:rPr>
          <w:sz w:val="18"/>
          <w:szCs w:val="18"/>
          <w:lang w:val="da-DK"/>
        </w:rPr>
        <w:t>dienogest</w:t>
      </w:r>
      <w:proofErr w:type="spellEnd"/>
      <w:r w:rsidRPr="00BC532B">
        <w:rPr>
          <w:sz w:val="18"/>
          <w:szCs w:val="18"/>
          <w:lang w:val="da-DK"/>
        </w:rPr>
        <w:t xml:space="preserve">, </w:t>
      </w:r>
      <w:proofErr w:type="spellStart"/>
      <w:r w:rsidRPr="00BC532B">
        <w:rPr>
          <w:sz w:val="18"/>
          <w:szCs w:val="18"/>
          <w:lang w:val="da-DK"/>
        </w:rPr>
        <w:t>drospirenon</w:t>
      </w:r>
      <w:proofErr w:type="spellEnd"/>
      <w:r w:rsidRPr="00BC532B">
        <w:rPr>
          <w:sz w:val="18"/>
          <w:szCs w:val="18"/>
          <w:lang w:val="da-DK"/>
        </w:rPr>
        <w:t xml:space="preserve">, </w:t>
      </w:r>
      <w:proofErr w:type="spellStart"/>
      <w:r w:rsidRPr="00BC532B">
        <w:rPr>
          <w:sz w:val="18"/>
          <w:szCs w:val="18"/>
          <w:lang w:val="da-DK"/>
        </w:rPr>
        <w:t>etonogestrel</w:t>
      </w:r>
      <w:proofErr w:type="spellEnd"/>
      <w:r w:rsidRPr="00BC532B">
        <w:rPr>
          <w:sz w:val="18"/>
          <w:szCs w:val="18"/>
          <w:lang w:val="da-DK"/>
        </w:rPr>
        <w:t xml:space="preserve">, </w:t>
      </w:r>
      <w:proofErr w:type="spellStart"/>
      <w:r w:rsidRPr="00BC532B">
        <w:rPr>
          <w:sz w:val="18"/>
          <w:szCs w:val="18"/>
          <w:lang w:val="da-DK"/>
        </w:rPr>
        <w:t>gestoden</w:t>
      </w:r>
      <w:proofErr w:type="spellEnd"/>
      <w:r w:rsidRPr="00BC532B">
        <w:rPr>
          <w:sz w:val="18"/>
          <w:szCs w:val="18"/>
          <w:lang w:val="da-DK"/>
        </w:rPr>
        <w:t xml:space="preserve">, </w:t>
      </w:r>
      <w:proofErr w:type="spellStart"/>
      <w:r w:rsidRPr="00BC532B">
        <w:rPr>
          <w:sz w:val="18"/>
          <w:szCs w:val="18"/>
          <w:lang w:val="da-DK"/>
        </w:rPr>
        <w:t>nomegestrol</w:t>
      </w:r>
      <w:proofErr w:type="spellEnd"/>
      <w:r w:rsidRPr="00BC532B">
        <w:rPr>
          <w:sz w:val="18"/>
          <w:szCs w:val="18"/>
          <w:lang w:val="da-DK"/>
        </w:rPr>
        <w:t xml:space="preserve">, </w:t>
      </w:r>
      <w:proofErr w:type="spellStart"/>
      <w:r w:rsidRPr="00BC532B">
        <w:rPr>
          <w:sz w:val="18"/>
          <w:szCs w:val="18"/>
          <w:lang w:val="da-DK"/>
        </w:rPr>
        <w:t>norelgestromin</w:t>
      </w:r>
      <w:proofErr w:type="spellEnd"/>
      <w:r w:rsidRPr="00BC532B">
        <w:rPr>
          <w:sz w:val="18"/>
          <w:szCs w:val="18"/>
          <w:lang w:val="da-DK"/>
        </w:rPr>
        <w:t xml:space="preserve"> </w:t>
      </w:r>
      <w:r>
        <w:rPr>
          <w:sz w:val="18"/>
          <w:szCs w:val="18"/>
          <w:lang w:val="da-DK"/>
        </w:rPr>
        <w:t>eller</w:t>
      </w:r>
      <w:r w:rsidRPr="00BC532B">
        <w:rPr>
          <w:sz w:val="18"/>
          <w:szCs w:val="18"/>
          <w:lang w:val="da-DK"/>
        </w:rPr>
        <w:t xml:space="preserve"> </w:t>
      </w:r>
      <w:proofErr w:type="spellStart"/>
      <w:r w:rsidRPr="00BC532B">
        <w:rPr>
          <w:sz w:val="18"/>
          <w:szCs w:val="18"/>
          <w:lang w:val="da-DK"/>
        </w:rPr>
        <w:t>norgestimat</w:t>
      </w:r>
      <w:proofErr w:type="spellEnd"/>
      <w:r w:rsidRPr="00BC532B">
        <w:rPr>
          <w:sz w:val="18"/>
          <w:szCs w:val="18"/>
          <w:lang w:val="da-DK"/>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979" w:rsidRDefault="00854B2B">
    <w:pPr>
      <w:pStyle w:val="Sidehoved"/>
    </w:pPr>
    <w:r>
      <w:t>23. januar</w:t>
    </w:r>
    <w:r w:rsidR="006D5C3C">
      <w:t xml:space="preserv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82F58"/>
    <w:multiLevelType w:val="hybridMultilevel"/>
    <w:tmpl w:val="22CE96A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nsid w:val="737C2FC1"/>
    <w:multiLevelType w:val="hybridMultilevel"/>
    <w:tmpl w:val="882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7D1297"/>
    <w:rsid w:val="00024B4B"/>
    <w:rsid w:val="00044333"/>
    <w:rsid w:val="00071E91"/>
    <w:rsid w:val="00072D76"/>
    <w:rsid w:val="000736E8"/>
    <w:rsid w:val="00085237"/>
    <w:rsid w:val="0009027E"/>
    <w:rsid w:val="000B4E7C"/>
    <w:rsid w:val="000C0C91"/>
    <w:rsid w:val="000C32CD"/>
    <w:rsid w:val="000D538A"/>
    <w:rsid w:val="000D777D"/>
    <w:rsid w:val="00102373"/>
    <w:rsid w:val="001511E4"/>
    <w:rsid w:val="0015418F"/>
    <w:rsid w:val="00154A7C"/>
    <w:rsid w:val="00187DEE"/>
    <w:rsid w:val="001A52D1"/>
    <w:rsid w:val="001A7D44"/>
    <w:rsid w:val="001C2D41"/>
    <w:rsid w:val="001C5E5F"/>
    <w:rsid w:val="001D0AB0"/>
    <w:rsid w:val="001E47E0"/>
    <w:rsid w:val="001F5A9A"/>
    <w:rsid w:val="001F5AE7"/>
    <w:rsid w:val="002103E6"/>
    <w:rsid w:val="0022544F"/>
    <w:rsid w:val="00252C73"/>
    <w:rsid w:val="00253B08"/>
    <w:rsid w:val="002643BA"/>
    <w:rsid w:val="0028040A"/>
    <w:rsid w:val="0028044E"/>
    <w:rsid w:val="00286ED7"/>
    <w:rsid w:val="00291601"/>
    <w:rsid w:val="002A439E"/>
    <w:rsid w:val="002B3D0A"/>
    <w:rsid w:val="002D0F8A"/>
    <w:rsid w:val="002F4473"/>
    <w:rsid w:val="002F7355"/>
    <w:rsid w:val="00305EEA"/>
    <w:rsid w:val="00312A85"/>
    <w:rsid w:val="00324219"/>
    <w:rsid w:val="003278D0"/>
    <w:rsid w:val="00334A7A"/>
    <w:rsid w:val="00365F8B"/>
    <w:rsid w:val="003879CC"/>
    <w:rsid w:val="00396EB7"/>
    <w:rsid w:val="003B060F"/>
    <w:rsid w:val="003D4A86"/>
    <w:rsid w:val="004152AA"/>
    <w:rsid w:val="004336C2"/>
    <w:rsid w:val="004342F7"/>
    <w:rsid w:val="00472B10"/>
    <w:rsid w:val="00482C37"/>
    <w:rsid w:val="00494D21"/>
    <w:rsid w:val="004B6E11"/>
    <w:rsid w:val="004D06D6"/>
    <w:rsid w:val="004F3A27"/>
    <w:rsid w:val="00501D10"/>
    <w:rsid w:val="005066BC"/>
    <w:rsid w:val="00510137"/>
    <w:rsid w:val="00515A6F"/>
    <w:rsid w:val="005336BC"/>
    <w:rsid w:val="0056418A"/>
    <w:rsid w:val="00566E60"/>
    <w:rsid w:val="00575102"/>
    <w:rsid w:val="00583436"/>
    <w:rsid w:val="005B6638"/>
    <w:rsid w:val="00601ACC"/>
    <w:rsid w:val="00606B27"/>
    <w:rsid w:val="006165D2"/>
    <w:rsid w:val="00631F9E"/>
    <w:rsid w:val="0066746C"/>
    <w:rsid w:val="006747BB"/>
    <w:rsid w:val="00683AF5"/>
    <w:rsid w:val="00685B72"/>
    <w:rsid w:val="00690608"/>
    <w:rsid w:val="006A6B5E"/>
    <w:rsid w:val="006A730B"/>
    <w:rsid w:val="006B5BB6"/>
    <w:rsid w:val="006B5D84"/>
    <w:rsid w:val="006D01AF"/>
    <w:rsid w:val="006D5C3C"/>
    <w:rsid w:val="006E2153"/>
    <w:rsid w:val="00723A02"/>
    <w:rsid w:val="00726265"/>
    <w:rsid w:val="007333B9"/>
    <w:rsid w:val="0074453A"/>
    <w:rsid w:val="00745452"/>
    <w:rsid w:val="00755075"/>
    <w:rsid w:val="00781969"/>
    <w:rsid w:val="00791608"/>
    <w:rsid w:val="007B1689"/>
    <w:rsid w:val="007B27B6"/>
    <w:rsid w:val="007D1297"/>
    <w:rsid w:val="007E2827"/>
    <w:rsid w:val="007E2A24"/>
    <w:rsid w:val="007F4A3F"/>
    <w:rsid w:val="00803FF7"/>
    <w:rsid w:val="00854B2B"/>
    <w:rsid w:val="00855E25"/>
    <w:rsid w:val="00857462"/>
    <w:rsid w:val="008848C0"/>
    <w:rsid w:val="00892802"/>
    <w:rsid w:val="008A3980"/>
    <w:rsid w:val="008A46EE"/>
    <w:rsid w:val="008C4E2B"/>
    <w:rsid w:val="008D0020"/>
    <w:rsid w:val="008E7710"/>
    <w:rsid w:val="008F3CFC"/>
    <w:rsid w:val="0090571F"/>
    <w:rsid w:val="0093062A"/>
    <w:rsid w:val="00933BD1"/>
    <w:rsid w:val="00955881"/>
    <w:rsid w:val="009661D5"/>
    <w:rsid w:val="00982E57"/>
    <w:rsid w:val="00984D72"/>
    <w:rsid w:val="00990DD1"/>
    <w:rsid w:val="00996C8C"/>
    <w:rsid w:val="00997F01"/>
    <w:rsid w:val="009A0704"/>
    <w:rsid w:val="009B2346"/>
    <w:rsid w:val="009B4E66"/>
    <w:rsid w:val="009C25F0"/>
    <w:rsid w:val="009C3C28"/>
    <w:rsid w:val="009C4C71"/>
    <w:rsid w:val="009D079B"/>
    <w:rsid w:val="00A3067B"/>
    <w:rsid w:val="00A37A74"/>
    <w:rsid w:val="00A5324F"/>
    <w:rsid w:val="00A569C1"/>
    <w:rsid w:val="00A61D2A"/>
    <w:rsid w:val="00A633B3"/>
    <w:rsid w:val="00AA0735"/>
    <w:rsid w:val="00AA35E2"/>
    <w:rsid w:val="00AB3BDE"/>
    <w:rsid w:val="00B0743E"/>
    <w:rsid w:val="00B319D9"/>
    <w:rsid w:val="00B34924"/>
    <w:rsid w:val="00B9065E"/>
    <w:rsid w:val="00BA6DE2"/>
    <w:rsid w:val="00BC19FB"/>
    <w:rsid w:val="00BC1D86"/>
    <w:rsid w:val="00BC532B"/>
    <w:rsid w:val="00C03008"/>
    <w:rsid w:val="00C03666"/>
    <w:rsid w:val="00C06D20"/>
    <w:rsid w:val="00C25C2B"/>
    <w:rsid w:val="00C27C14"/>
    <w:rsid w:val="00C4056D"/>
    <w:rsid w:val="00C45CE5"/>
    <w:rsid w:val="00C54F40"/>
    <w:rsid w:val="00C60286"/>
    <w:rsid w:val="00C75F7F"/>
    <w:rsid w:val="00C80946"/>
    <w:rsid w:val="00C85130"/>
    <w:rsid w:val="00CD4941"/>
    <w:rsid w:val="00CE53BC"/>
    <w:rsid w:val="00CF34EB"/>
    <w:rsid w:val="00D30F46"/>
    <w:rsid w:val="00D41CCC"/>
    <w:rsid w:val="00D471C4"/>
    <w:rsid w:val="00D84979"/>
    <w:rsid w:val="00D85B6F"/>
    <w:rsid w:val="00D9331A"/>
    <w:rsid w:val="00D979ED"/>
    <w:rsid w:val="00DA4367"/>
    <w:rsid w:val="00DD2612"/>
    <w:rsid w:val="00DD3694"/>
    <w:rsid w:val="00DD6C28"/>
    <w:rsid w:val="00E00F7A"/>
    <w:rsid w:val="00E03B83"/>
    <w:rsid w:val="00E0505F"/>
    <w:rsid w:val="00E11E38"/>
    <w:rsid w:val="00E21493"/>
    <w:rsid w:val="00E242FE"/>
    <w:rsid w:val="00E43AA4"/>
    <w:rsid w:val="00E43AFD"/>
    <w:rsid w:val="00E45408"/>
    <w:rsid w:val="00E525D7"/>
    <w:rsid w:val="00E76B8A"/>
    <w:rsid w:val="00E8482C"/>
    <w:rsid w:val="00E96619"/>
    <w:rsid w:val="00EA5507"/>
    <w:rsid w:val="00EC7852"/>
    <w:rsid w:val="00ED15C6"/>
    <w:rsid w:val="00F17493"/>
    <w:rsid w:val="00F2230A"/>
    <w:rsid w:val="00F45768"/>
    <w:rsid w:val="00F46413"/>
    <w:rsid w:val="00F52FD3"/>
    <w:rsid w:val="00F53D3C"/>
    <w:rsid w:val="00F62C1D"/>
    <w:rsid w:val="00F678E8"/>
    <w:rsid w:val="00F724E4"/>
    <w:rsid w:val="00F85DA0"/>
    <w:rsid w:val="00F87111"/>
    <w:rsid w:val="00FB2C2D"/>
    <w:rsid w:val="00FB51C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rsid w:val="00BC532B"/>
    <w:pPr>
      <w:spacing w:after="0" w:line="240" w:lineRule="auto"/>
    </w:pPr>
    <w:rPr>
      <w:rFonts w:ascii="Times New Roman" w:eastAsia="Times New Roman" w:hAnsi="Times New Roman" w:cs="Times New Roman"/>
      <w:sz w:val="20"/>
      <w:szCs w:val="20"/>
      <w:lang w:val="en-GB" w:eastAsia="en-GB"/>
    </w:rPr>
  </w:style>
  <w:style w:type="character" w:customStyle="1" w:styleId="FodnotetekstTegn">
    <w:name w:val="Fodnotetekst Tegn"/>
    <w:basedOn w:val="Standardskrifttypeiafsnit"/>
    <w:link w:val="Fodnotetekst"/>
    <w:rsid w:val="00BC532B"/>
    <w:rPr>
      <w:rFonts w:ascii="Times New Roman" w:eastAsia="Times New Roman" w:hAnsi="Times New Roman" w:cs="Times New Roman"/>
      <w:sz w:val="20"/>
      <w:szCs w:val="20"/>
      <w:lang w:val="en-GB" w:eastAsia="en-GB"/>
    </w:rPr>
  </w:style>
  <w:style w:type="character" w:styleId="Fodnotehenvisning">
    <w:name w:val="footnote reference"/>
    <w:rsid w:val="00BC532B"/>
    <w:rPr>
      <w:vertAlign w:val="superscript"/>
    </w:rPr>
  </w:style>
  <w:style w:type="paragraph" w:customStyle="1" w:styleId="BodytextAgency">
    <w:name w:val="Body text (Agency)"/>
    <w:basedOn w:val="Normal"/>
    <w:link w:val="BodytextAgencyChar"/>
    <w:rsid w:val="00583436"/>
    <w:pPr>
      <w:spacing w:after="140" w:line="280" w:lineRule="atLeast"/>
    </w:pPr>
    <w:rPr>
      <w:rFonts w:ascii="Verdana" w:eastAsia="Times New Roman" w:hAnsi="Verdana" w:cs="Times New Roman"/>
      <w:sz w:val="18"/>
      <w:szCs w:val="20"/>
      <w:lang w:val="en-GB" w:eastAsia="fr-LU"/>
    </w:rPr>
  </w:style>
  <w:style w:type="character" w:customStyle="1" w:styleId="BodytextAgencyChar">
    <w:name w:val="Body text (Agency) Char"/>
    <w:link w:val="BodytextAgency"/>
    <w:rsid w:val="00583436"/>
    <w:rPr>
      <w:rFonts w:ascii="Verdana" w:eastAsia="Times New Roman" w:hAnsi="Verdana" w:cs="Times New Roman"/>
      <w:sz w:val="18"/>
      <w:szCs w:val="20"/>
      <w:lang w:val="en-GB" w:eastAsia="fr-LU"/>
    </w:rPr>
  </w:style>
  <w:style w:type="character" w:customStyle="1" w:styleId="hps">
    <w:name w:val="hps"/>
    <w:basedOn w:val="Standardskrifttypeiafsnit"/>
    <w:rsid w:val="007B1689"/>
  </w:style>
  <w:style w:type="paragraph" w:styleId="Sidehoved">
    <w:name w:val="header"/>
    <w:basedOn w:val="Normal"/>
    <w:link w:val="SidehovedTegn"/>
    <w:uiPriority w:val="99"/>
    <w:semiHidden/>
    <w:unhideWhenUsed/>
    <w:rsid w:val="00D849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84979"/>
  </w:style>
  <w:style w:type="paragraph" w:styleId="Sidefod">
    <w:name w:val="footer"/>
    <w:basedOn w:val="Normal"/>
    <w:link w:val="SidefodTegn"/>
    <w:uiPriority w:val="99"/>
    <w:semiHidden/>
    <w:unhideWhenUsed/>
    <w:rsid w:val="00D8497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84979"/>
  </w:style>
  <w:style w:type="paragraph" w:styleId="Markeringsbobletekst">
    <w:name w:val="Balloon Text"/>
    <w:basedOn w:val="Normal"/>
    <w:link w:val="MarkeringsbobletekstTegn"/>
    <w:uiPriority w:val="99"/>
    <w:semiHidden/>
    <w:unhideWhenUsed/>
    <w:rsid w:val="006165D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65D2"/>
    <w:rPr>
      <w:rFonts w:ascii="Tahoma" w:hAnsi="Tahoma" w:cs="Tahoma"/>
      <w:sz w:val="16"/>
      <w:szCs w:val="16"/>
    </w:rPr>
  </w:style>
  <w:style w:type="paragraph" w:customStyle="1" w:styleId="Default">
    <w:name w:val="Default"/>
    <w:rsid w:val="00510137"/>
    <w:pPr>
      <w:autoSpaceDE w:val="0"/>
      <w:autoSpaceDN w:val="0"/>
      <w:adjustRightInd w:val="0"/>
      <w:spacing w:after="0" w:line="240" w:lineRule="auto"/>
    </w:pPr>
    <w:rPr>
      <w:rFonts w:ascii="Arial" w:eastAsia="SimSun" w:hAnsi="Arial" w:cs="Arial"/>
      <w:color w:val="000000"/>
      <w:sz w:val="24"/>
      <w:szCs w:val="24"/>
      <w:lang w:val="nl-BE" w:eastAsia="nl-BE"/>
    </w:rPr>
  </w:style>
  <w:style w:type="character" w:styleId="Hyperlink">
    <w:name w:val="Hyperlink"/>
    <w:basedOn w:val="Standardskrifttypeiafsnit"/>
    <w:uiPriority w:val="99"/>
    <w:unhideWhenUsed/>
    <w:rsid w:val="003D4A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2696299">
      <w:bodyDiv w:val="1"/>
      <w:marLeft w:val="0"/>
      <w:marRight w:val="0"/>
      <w:marTop w:val="0"/>
      <w:marBottom w:val="0"/>
      <w:divBdr>
        <w:top w:val="none" w:sz="0" w:space="0" w:color="auto"/>
        <w:left w:val="none" w:sz="0" w:space="0" w:color="auto"/>
        <w:bottom w:val="none" w:sz="0" w:space="0" w:color="auto"/>
        <w:right w:val="none" w:sz="0" w:space="0" w:color="auto"/>
      </w:divBdr>
      <w:divsChild>
        <w:div w:id="1088228851">
          <w:marLeft w:val="0"/>
          <w:marRight w:val="0"/>
          <w:marTop w:val="0"/>
          <w:marBottom w:val="0"/>
          <w:divBdr>
            <w:top w:val="none" w:sz="0" w:space="0" w:color="auto"/>
            <w:left w:val="none" w:sz="0" w:space="0" w:color="auto"/>
            <w:bottom w:val="none" w:sz="0" w:space="0" w:color="auto"/>
            <w:right w:val="none" w:sz="0" w:space="0" w:color="auto"/>
          </w:divBdr>
          <w:divsChild>
            <w:div w:id="503938949">
              <w:marLeft w:val="0"/>
              <w:marRight w:val="0"/>
              <w:marTop w:val="0"/>
              <w:marBottom w:val="0"/>
              <w:divBdr>
                <w:top w:val="none" w:sz="0" w:space="0" w:color="auto"/>
                <w:left w:val="none" w:sz="0" w:space="0" w:color="auto"/>
                <w:bottom w:val="none" w:sz="0" w:space="0" w:color="auto"/>
                <w:right w:val="none" w:sz="0" w:space="0" w:color="auto"/>
              </w:divBdr>
              <w:divsChild>
                <w:div w:id="844131793">
                  <w:marLeft w:val="0"/>
                  <w:marRight w:val="0"/>
                  <w:marTop w:val="0"/>
                  <w:marBottom w:val="0"/>
                  <w:divBdr>
                    <w:top w:val="none" w:sz="0" w:space="0" w:color="auto"/>
                    <w:left w:val="none" w:sz="0" w:space="0" w:color="auto"/>
                    <w:bottom w:val="none" w:sz="0" w:space="0" w:color="auto"/>
                    <w:right w:val="none" w:sz="0" w:space="0" w:color="auto"/>
                  </w:divBdr>
                  <w:divsChild>
                    <w:div w:id="1584144274">
                      <w:marLeft w:val="0"/>
                      <w:marRight w:val="0"/>
                      <w:marTop w:val="0"/>
                      <w:marBottom w:val="0"/>
                      <w:divBdr>
                        <w:top w:val="none" w:sz="0" w:space="0" w:color="auto"/>
                        <w:left w:val="none" w:sz="0" w:space="0" w:color="auto"/>
                        <w:bottom w:val="none" w:sz="0" w:space="0" w:color="auto"/>
                        <w:right w:val="none" w:sz="0" w:space="0" w:color="auto"/>
                      </w:divBdr>
                      <w:divsChild>
                        <w:div w:id="356277797">
                          <w:marLeft w:val="0"/>
                          <w:marRight w:val="0"/>
                          <w:marTop w:val="0"/>
                          <w:marBottom w:val="0"/>
                          <w:divBdr>
                            <w:top w:val="none" w:sz="0" w:space="0" w:color="auto"/>
                            <w:left w:val="none" w:sz="0" w:space="0" w:color="auto"/>
                            <w:bottom w:val="none" w:sz="0" w:space="0" w:color="auto"/>
                            <w:right w:val="none" w:sz="0" w:space="0" w:color="auto"/>
                          </w:divBdr>
                          <w:divsChild>
                            <w:div w:id="36855735">
                              <w:marLeft w:val="0"/>
                              <w:marRight w:val="0"/>
                              <w:marTop w:val="0"/>
                              <w:marBottom w:val="0"/>
                              <w:divBdr>
                                <w:top w:val="none" w:sz="0" w:space="0" w:color="auto"/>
                                <w:left w:val="none" w:sz="0" w:space="0" w:color="auto"/>
                                <w:bottom w:val="none" w:sz="0" w:space="0" w:color="auto"/>
                                <w:right w:val="none" w:sz="0" w:space="0" w:color="auto"/>
                              </w:divBdr>
                              <w:divsChild>
                                <w:div w:id="1731071938">
                                  <w:marLeft w:val="0"/>
                                  <w:marRight w:val="0"/>
                                  <w:marTop w:val="0"/>
                                  <w:marBottom w:val="0"/>
                                  <w:divBdr>
                                    <w:top w:val="none" w:sz="0" w:space="0" w:color="auto"/>
                                    <w:left w:val="none" w:sz="0" w:space="0" w:color="auto"/>
                                    <w:bottom w:val="none" w:sz="0" w:space="0" w:color="auto"/>
                                    <w:right w:val="none" w:sz="0" w:space="0" w:color="auto"/>
                                  </w:divBdr>
                                  <w:divsChild>
                                    <w:div w:id="1329560721">
                                      <w:marLeft w:val="43"/>
                                      <w:marRight w:val="0"/>
                                      <w:marTop w:val="0"/>
                                      <w:marBottom w:val="0"/>
                                      <w:divBdr>
                                        <w:top w:val="none" w:sz="0" w:space="0" w:color="auto"/>
                                        <w:left w:val="none" w:sz="0" w:space="0" w:color="auto"/>
                                        <w:bottom w:val="none" w:sz="0" w:space="0" w:color="auto"/>
                                        <w:right w:val="none" w:sz="0" w:space="0" w:color="auto"/>
                                      </w:divBdr>
                                      <w:divsChild>
                                        <w:div w:id="1812861188">
                                          <w:marLeft w:val="0"/>
                                          <w:marRight w:val="0"/>
                                          <w:marTop w:val="0"/>
                                          <w:marBottom w:val="0"/>
                                          <w:divBdr>
                                            <w:top w:val="none" w:sz="0" w:space="0" w:color="auto"/>
                                            <w:left w:val="none" w:sz="0" w:space="0" w:color="auto"/>
                                            <w:bottom w:val="none" w:sz="0" w:space="0" w:color="auto"/>
                                            <w:right w:val="none" w:sz="0" w:space="0" w:color="auto"/>
                                          </w:divBdr>
                                          <w:divsChild>
                                            <w:div w:id="522019403">
                                              <w:marLeft w:val="0"/>
                                              <w:marRight w:val="0"/>
                                              <w:marTop w:val="0"/>
                                              <w:marBottom w:val="86"/>
                                              <w:divBdr>
                                                <w:top w:val="single" w:sz="4" w:space="0" w:color="F5F5F5"/>
                                                <w:left w:val="single" w:sz="4" w:space="0" w:color="F5F5F5"/>
                                                <w:bottom w:val="single" w:sz="4" w:space="0" w:color="F5F5F5"/>
                                                <w:right w:val="single" w:sz="4" w:space="0" w:color="F5F5F5"/>
                                              </w:divBdr>
                                              <w:divsChild>
                                                <w:div w:id="780687460">
                                                  <w:marLeft w:val="0"/>
                                                  <w:marRight w:val="0"/>
                                                  <w:marTop w:val="0"/>
                                                  <w:marBottom w:val="0"/>
                                                  <w:divBdr>
                                                    <w:top w:val="none" w:sz="0" w:space="0" w:color="auto"/>
                                                    <w:left w:val="none" w:sz="0" w:space="0" w:color="auto"/>
                                                    <w:bottom w:val="none" w:sz="0" w:space="0" w:color="auto"/>
                                                    <w:right w:val="none" w:sz="0" w:space="0" w:color="auto"/>
                                                  </w:divBdr>
                                                  <w:divsChild>
                                                    <w:div w:id="367338543">
                                                      <w:marLeft w:val="0"/>
                                                      <w:marRight w:val="0"/>
                                                      <w:marTop w:val="0"/>
                                                      <w:marBottom w:val="0"/>
                                                      <w:divBdr>
                                                        <w:top w:val="none" w:sz="0" w:space="0" w:color="auto"/>
                                                        <w:left w:val="none" w:sz="0" w:space="0" w:color="auto"/>
                                                        <w:bottom w:val="none" w:sz="0" w:space="0" w:color="auto"/>
                                                        <w:right w:val="none" w:sz="0" w:space="0" w:color="auto"/>
                                                      </w:divBdr>
                                                      <w:divsChild>
                                                        <w:div w:id="19716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ldenbivirkning.dk" TargetMode="Externa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2A13-08B4-463A-8951-D4FB6097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6152</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urn</dc:creator>
  <cp:keywords/>
  <dc:description/>
  <cp:lastModifiedBy>Line Michan</cp:lastModifiedBy>
  <cp:revision>2</cp:revision>
  <cp:lastPrinted>2014-01-02T09:55:00Z</cp:lastPrinted>
  <dcterms:created xsi:type="dcterms:W3CDTF">2014-01-23T08:12:00Z</dcterms:created>
  <dcterms:modified xsi:type="dcterms:W3CDTF">2014-01-23T08:12:00Z</dcterms:modified>
</cp:coreProperties>
</file>